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ind w:left="218" w:leftChars="104" w:firstLine="0" w:firstLineChars="0"/>
        <w:jc w:val="center"/>
        <w:rPr>
          <w:rFonts w:hint="default" w:cs="Times New Roman"/>
          <w:b/>
          <w:color w:val="auto"/>
          <w:sz w:val="32"/>
          <w:szCs w:val="32"/>
          <w:lang w:val="en-US" w:eastAsia="zh-CN"/>
        </w:rPr>
      </w:pPr>
      <w:r>
        <w:rPr>
          <w:rFonts w:hint="eastAsia" w:cs="Times New Roman"/>
          <w:b/>
          <w:color w:val="auto"/>
          <w:sz w:val="32"/>
          <w:szCs w:val="32"/>
          <w:lang w:val="en-US" w:eastAsia="zh-CN"/>
        </w:rPr>
        <w:t>山东旭源塑业有限公司年产4000吨丙纶丝生产线扩建项目（一期）</w:t>
      </w:r>
      <w:r>
        <w:rPr>
          <w:rFonts w:hint="default" w:cs="Times New Roman"/>
          <w:b/>
          <w:color w:val="auto"/>
          <w:sz w:val="32"/>
          <w:szCs w:val="32"/>
          <w:lang w:val="en-US" w:eastAsia="zh-CN"/>
        </w:rPr>
        <w:t>竣工环境保护验收现场检查及验收工作组验收意见</w:t>
      </w:r>
    </w:p>
    <w:p>
      <w:pPr>
        <w:tabs>
          <w:tab w:val="left" w:pos="220"/>
        </w:tabs>
        <w:spacing w:line="240" w:lineRule="auto"/>
        <w:ind w:left="233" w:leftChars="111" w:firstLine="518" w:firstLineChars="216"/>
        <w:jc w:val="left"/>
        <w:rPr>
          <w:rFonts w:hint="default" w:ascii="Times New Roman" w:hAnsi="Times New Roman" w:eastAsia="宋体" w:cs="Times New Roman"/>
          <w:color w:val="auto"/>
          <w:sz w:val="24"/>
          <w:szCs w:val="24"/>
          <w:highlight w:val="none"/>
        </w:rPr>
      </w:pP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highlight w:val="none"/>
          <w:lang w:eastAsia="zh-CN"/>
        </w:rPr>
        <w:t>2022年4月16日，山东旭源塑业有限公司组织召开山东旭源塑业有限公司年产4000吨丙纶丝生产线扩建项目（一期）竣工环境保护验收现场检查及验收及验收会。验收工作组由工程建设单位（山东旭源塑业有限公司）、检测单位（山东聊和环保科技有限公司）、验收报告编制单位（山东绿和环保咨询有限公司）并特邀2名技术专家（名单附后）组成</w:t>
      </w:r>
      <w:r>
        <w:rPr>
          <w:rFonts w:hint="default" w:ascii="Times New Roman" w:hAnsi="Times New Roman" w:eastAsia="宋体" w:cs="Times New Roman"/>
          <w:color w:val="auto"/>
          <w:sz w:val="24"/>
          <w:szCs w:val="24"/>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3"/>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eastAsia="zh-CN"/>
        </w:rPr>
        <w:t>山东旭源塑业有限公司位于山东省聊城市莘县王庄集镇后呈旺村116号。项目预计总投资3000万元，利用原有闲置车间建设年产4000吨丙纶丝生产线扩建项目，全厂占地面积3292.10m</w:t>
      </w:r>
      <w:r>
        <w:rPr>
          <w:rFonts w:hint="eastAsia" w:cs="Times New Roman"/>
          <w:color w:val="auto"/>
          <w:sz w:val="24"/>
          <w:szCs w:val="24"/>
          <w:vertAlign w:val="superscript"/>
          <w:lang w:eastAsia="zh-CN"/>
        </w:rPr>
        <w:t>2</w:t>
      </w:r>
      <w:r>
        <w:rPr>
          <w:rFonts w:hint="eastAsia" w:cs="Times New Roman"/>
          <w:color w:val="auto"/>
          <w:sz w:val="24"/>
          <w:szCs w:val="24"/>
          <w:lang w:eastAsia="zh-CN"/>
        </w:rPr>
        <w:t>。由于企业资金问题，项目实际投资1200万元，实际购置设备数量较环评设计少，生产规模实际可达年产1600吨丙纶丝，项目分期验收，本次验收为一期</w:t>
      </w:r>
      <w:r>
        <w:rPr>
          <w:rFonts w:hint="default" w:ascii="Times New Roman" w:hAnsi="Times New Roman" w:eastAsia="宋体" w:cs="Times New Roman"/>
          <w:color w:val="auto"/>
          <w:sz w:val="24"/>
          <w:szCs w:val="24"/>
          <w:lang w:eastAsia="zh-CN"/>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2017年6月2日，原莘县环境保护局《关于山东旭源塑业有限公司年产2000吨塑料线项目环境影响报告表的审批意见》（莘环报告表【2017】19号）文件批复了此项目的环境影响报告表，此项目于2017年9月建成投产。2017年9月山东省国衡环境检测有限公司对此项目进行了验收监测。</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根据企业发展规划和市场需求，山东旭源塑业有限公司决定建设年产4000吨丙纶丝生产线扩建项目。</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次验收为改扩建项目。2021年6月山东旭源塑业有限公司委托山东锦航环保科技有限公司编制了《山东旭源塑业有限公司年产4000吨丙纶丝生产线扩建项目环境影响报告表》，2021年9月8日莘县行政审批服务局以莘行审报告表〔2021〕43号对其进行了审批。2021年12月公司委托山东绿和环保咨询有限公司进行本项目（一期）的环保验收工作，山东绿和环保咨询有限公司组织有关技术人员进行现场踏勘，依据监测技术规范制定了环保验收（一期）监测方案，并委托山东聊和环保科技有限公司于2022年03月29日-30日对该企业进行了项目检测，根据验收监测结果和现场检查情况，山东绿和环保咨询有限公司编制了本项目（一期）验收监测报告。</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w:t>
      </w:r>
      <w:r>
        <w:rPr>
          <w:rFonts w:hint="eastAsia" w:cs="Times New Roman"/>
          <w:color w:val="auto"/>
          <w:sz w:val="24"/>
          <w:szCs w:val="24"/>
          <w:lang w:eastAsia="zh-CN"/>
        </w:rPr>
        <w:t>一期</w:t>
      </w:r>
      <w:r>
        <w:rPr>
          <w:rFonts w:hint="default" w:ascii="Times New Roman" w:hAnsi="Times New Roman" w:eastAsia="宋体" w:cs="Times New Roman"/>
          <w:color w:val="auto"/>
          <w:sz w:val="24"/>
          <w:szCs w:val="24"/>
        </w:rPr>
        <w:t>实际总投资</w:t>
      </w:r>
      <w:r>
        <w:rPr>
          <w:rFonts w:hint="eastAsia" w:cs="Times New Roman"/>
          <w:color w:val="auto"/>
          <w:sz w:val="24"/>
          <w:szCs w:val="24"/>
          <w:lang w:val="en-US" w:eastAsia="zh-CN"/>
        </w:rPr>
        <w:t>1200</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eastAsia" w:cs="Times New Roman"/>
          <w:color w:val="auto"/>
          <w:sz w:val="24"/>
          <w:szCs w:val="24"/>
          <w:lang w:val="en-US" w:eastAsia="zh-CN"/>
        </w:rPr>
        <w:t>85</w:t>
      </w:r>
      <w:r>
        <w:rPr>
          <w:rFonts w:hint="default" w:ascii="Times New Roman" w:hAnsi="Times New Roman" w:eastAsia="宋体" w:cs="Times New Roman"/>
          <w:color w:val="auto"/>
          <w:sz w:val="24"/>
          <w:szCs w:val="24"/>
        </w:rPr>
        <w:t>万元</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占总投资</w:t>
      </w:r>
      <w:r>
        <w:rPr>
          <w:rFonts w:hint="eastAsia" w:cs="Times New Roman"/>
          <w:color w:val="auto"/>
          <w:sz w:val="24"/>
          <w:szCs w:val="24"/>
          <w:lang w:val="en-US" w:eastAsia="zh-CN"/>
        </w:rPr>
        <w:t>7.1</w:t>
      </w:r>
      <w:r>
        <w:rPr>
          <w:rFonts w:hint="default" w:ascii="Times New Roman" w:hAnsi="Times New Roman" w:eastAsia="宋体" w:cs="Times New Roman"/>
          <w:color w:val="auto"/>
          <w:sz w:val="24"/>
          <w:szCs w:val="24"/>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w:t>
      </w:r>
      <w:r>
        <w:rPr>
          <w:rFonts w:hint="eastAsia" w:cs="Times New Roman"/>
          <w:color w:val="auto"/>
          <w:sz w:val="24"/>
          <w:szCs w:val="24"/>
          <w:lang w:eastAsia="zh-CN"/>
        </w:rPr>
        <w:t>一期</w:t>
      </w:r>
      <w:r>
        <w:rPr>
          <w:rFonts w:hint="default" w:ascii="Times New Roman" w:hAnsi="Times New Roman" w:eastAsia="宋体" w:cs="Times New Roman"/>
          <w:color w:val="auto"/>
          <w:sz w:val="24"/>
          <w:szCs w:val="24"/>
        </w:rPr>
        <w:t>的范围为</w:t>
      </w:r>
      <w:r>
        <w:rPr>
          <w:rFonts w:hint="eastAsia" w:cs="Times New Roman"/>
          <w:color w:val="auto"/>
          <w:sz w:val="24"/>
          <w:szCs w:val="24"/>
          <w:lang w:val="en-US" w:eastAsia="zh-CN"/>
        </w:rPr>
        <w:t>年产1600吨丙纶丝</w:t>
      </w:r>
      <w:r>
        <w:rPr>
          <w:rFonts w:hint="default" w:ascii="Times New Roman" w:hAnsi="Times New Roman" w:eastAsia="宋体" w:cs="Times New Roman"/>
          <w:color w:val="auto"/>
          <w:sz w:val="24"/>
          <w:szCs w:val="24"/>
          <w:lang w:val="en-US" w:eastAsia="zh-CN"/>
        </w:rPr>
        <w:t>生产设备</w:t>
      </w:r>
      <w:r>
        <w:rPr>
          <w:rFonts w:hint="default" w:ascii="Times New Roman" w:hAnsi="Times New Roman" w:eastAsia="宋体" w:cs="Times New Roman"/>
          <w:color w:val="auto"/>
          <w:sz w:val="24"/>
          <w:szCs w:val="24"/>
        </w:rPr>
        <w:t>及其配套环保设施。</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通过现场调查，对照环评报告及审批意见：</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①由于企业资金问题，项目实际投资1200万元，实际购置设备数量较环评设计少，生产规模实际可达年产1600吨丙纶丝，项目分期验收，本次验收为一期。</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②本项目环评设计废气处理设备为“活性炭吸附-脱附装置+催化燃烧装置”，实际建设优化为“喷淋塔+干式过滤箱+活性炭吸附-脱附装置+催化燃烧装置”。 </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根据《关于印发污染影响类建设项目重大变动清单（试行）的通知》环办环评函〔2020〕688号，本项目性质、规模、地点、生产工艺以及环境保护措施均不涉及重大变动。</w:t>
      </w:r>
    </w:p>
    <w:p>
      <w:pPr>
        <w:pStyle w:val="13"/>
        <w:numPr>
          <w:ilvl w:val="0"/>
          <w:numId w:val="1"/>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环境保护设施落实情况</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本项目废水主要为生活污水，经化粪池处理后由环卫部门清运处理，不外排。</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本项目产生的废气主要为熔融挤出废气，废气经集气罩并加装软帘收集后，进入“喷淋塔+干式过滤箱+活性炭吸附-脱附装置+催化燃烧装置”处理，最后通过一根15m高排气筒排放。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未被收集的废气经车间通风后无组织排放。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z w:val="24"/>
          <w:szCs w:val="24"/>
          <w:highlight w:val="none"/>
          <w:lang w:val="en-US" w:eastAsia="zh-CN"/>
        </w:rPr>
        <w:t>本项目主要噪声源设备为纺丝牵伸机组、空压机等设备运行时产生的噪声。通过基础减振、距离衰减等综合控制等措施，降低对外环境的影响</w:t>
      </w:r>
      <w:r>
        <w:rPr>
          <w:rFonts w:hint="default" w:ascii="Times New Roman" w:hAnsi="Times New Roman" w:eastAsia="宋体" w:cs="Times New Roman"/>
          <w:snapToGrid w:val="0"/>
          <w:color w:val="auto"/>
          <w:kern w:val="0"/>
          <w:sz w:val="24"/>
          <w:szCs w:val="24"/>
          <w:lang w:val="en-US" w:eastAsia="zh-CN"/>
        </w:rPr>
        <w:t xml:space="preserve">。 </w:t>
      </w:r>
    </w:p>
    <w:p>
      <w:pPr>
        <w:spacing w:line="360" w:lineRule="auto"/>
        <w:ind w:left="233" w:leftChars="111" w:firstLine="518" w:firstLineChars="216"/>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pPr>
        <w:pStyle w:val="13"/>
        <w:numPr>
          <w:ilvl w:val="0"/>
          <w:numId w:val="0"/>
        </w:numPr>
        <w:spacing w:line="360" w:lineRule="auto"/>
        <w:ind w:left="233" w:leftChars="111" w:firstLine="518" w:firstLineChars="216"/>
        <w:jc w:val="left"/>
        <w:rPr>
          <w:rFonts w:hint="eastAsia"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本项目一般固废为废包装材料，挤出工序产生的废滤网，生产过程产生的不合格产品，职工办公、生活产生的生活垃圾；危险固废为废气处理装置产生的废活性炭、废催化剂，以及空压机产生的废空压机油和破损废油桶。</w:t>
      </w:r>
    </w:p>
    <w:p>
      <w:pPr>
        <w:pStyle w:val="13"/>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废包装材料、废滤网、不合格产品收集后暂存固废暂存间，外售资源回收单位；生活垃圾收集后暂存垃圾桶，委托当地的环卫部门进行处理。项目废气处理装置产生的废活性炭、废催化剂，空压机产生的废空压机油、破损废油桶均属于危险废物，收集后暂存于危险废物暂存间，然后委托有资质的单位定期进行清运、处置。</w:t>
      </w:r>
      <w:r>
        <w:rPr>
          <w:rFonts w:hint="default" w:ascii="Times New Roman" w:hAnsi="Times New Roman" w:eastAsia="宋体" w:cs="Times New Roman"/>
          <w:snapToGrid w:val="0"/>
          <w:color w:val="auto"/>
          <w:kern w:val="0"/>
          <w:sz w:val="24"/>
          <w:szCs w:val="24"/>
          <w:lang w:val="en-US" w:eastAsia="zh-CN" w:bidi="ar-SA"/>
        </w:rPr>
        <w:br w:type="textWrapping"/>
      </w:r>
      <w:r>
        <w:rPr>
          <w:rFonts w:hint="eastAsia" w:cs="Times New Roman"/>
          <w:snapToGrid w:val="0"/>
          <w:color w:val="auto"/>
          <w:kern w:val="0"/>
          <w:sz w:val="24"/>
          <w:szCs w:val="24"/>
          <w:lang w:val="en-US" w:eastAsia="zh-CN" w:bidi="ar-SA"/>
        </w:rPr>
        <w:t xml:space="preserve">    </w:t>
      </w:r>
      <w:r>
        <w:rPr>
          <w:rFonts w:hint="default" w:ascii="Times New Roman" w:hAnsi="Times New Roman" w:eastAsia="宋体" w:cs="Times New Roman"/>
          <w:snapToGrid w:val="0"/>
          <w:color w:val="auto"/>
          <w:kern w:val="0"/>
          <w:sz w:val="24"/>
          <w:szCs w:val="24"/>
          <w:lang w:val="en-US" w:eastAsia="zh-CN" w:bidi="ar-SA"/>
        </w:rPr>
        <w:t>四、验收监测结果</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pPr>
        <w:widowControl/>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lang w:eastAsia="zh-CN"/>
        </w:rPr>
        <w:t>山东绿和环保咨询有限公司</w:t>
      </w:r>
      <w:r>
        <w:rPr>
          <w:rFonts w:hint="default" w:ascii="Times New Roman" w:hAnsi="Times New Roman" w:eastAsia="宋体" w:cs="Times New Roman"/>
          <w:color w:val="auto"/>
          <w:sz w:val="24"/>
          <w:szCs w:val="24"/>
        </w:rPr>
        <w:t>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山东旭源塑业有限公司年产4000吨丙纶丝生产线扩建项目（一期）</w:t>
      </w:r>
      <w:r>
        <w:rPr>
          <w:rFonts w:hint="default" w:ascii="Times New Roman" w:hAnsi="Times New Roman" w:eastAsia="宋体" w:cs="Times New Roman"/>
          <w:color w:val="auto"/>
          <w:sz w:val="24"/>
          <w:szCs w:val="24"/>
        </w:rPr>
        <w:t>竣工环境保护验收监测报告》监测结果表明：</w:t>
      </w:r>
    </w:p>
    <w:p>
      <w:pPr>
        <w:numPr>
          <w:ilvl w:val="0"/>
          <w:numId w:val="2"/>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废水</w:t>
      </w:r>
    </w:p>
    <w:p>
      <w:pPr>
        <w:spacing w:line="360" w:lineRule="auto"/>
        <w:ind w:left="233" w:leftChars="111" w:firstLine="518" w:firstLineChars="216"/>
        <w:rPr>
          <w:rFonts w:hint="default" w:ascii="Times New Roman" w:hAnsi="Times New Roman" w:eastAsia="宋体" w:cs="Times New Roman"/>
          <w:b w:val="0"/>
          <w:bCs w:val="0"/>
          <w:color w:val="auto"/>
          <w:sz w:val="24"/>
          <w:szCs w:val="24"/>
          <w:lang w:val="en-US" w:eastAsia="zh-CN"/>
        </w:rPr>
      </w:pPr>
      <w:r>
        <w:rPr>
          <w:rFonts w:hint="eastAsia" w:cs="Times New Roman"/>
          <w:color w:val="auto"/>
          <w:sz w:val="24"/>
          <w:szCs w:val="24"/>
          <w:lang w:val="en-US" w:eastAsia="zh-CN"/>
        </w:rPr>
        <w:t>同上文三、（一）</w:t>
      </w:r>
      <w:r>
        <w:rPr>
          <w:rFonts w:hint="default" w:ascii="Times New Roman" w:hAnsi="Times New Roman" w:eastAsia="宋体" w:cs="Times New Roman"/>
          <w:color w:val="auto"/>
          <w:sz w:val="24"/>
          <w:szCs w:val="24"/>
          <w:lang w:val="en-US" w:eastAsia="zh-CN"/>
        </w:rPr>
        <w:t>。</w:t>
      </w:r>
    </w:p>
    <w:p>
      <w:pPr>
        <w:numPr>
          <w:ilvl w:val="0"/>
          <w:numId w:val="3"/>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废气</w:t>
      </w:r>
    </w:p>
    <w:p>
      <w:p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验收监测期间，有组织苯最高排放浓度为0.062mg/m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，排放速率最高为9.1×10</w:t>
      </w:r>
      <w:r>
        <w:rPr>
          <w:rFonts w:hint="default" w:ascii="Times New Roman" w:hAnsi="Times New Roman" w:eastAsia="宋体" w:cs="Times New Roman"/>
          <w:color w:val="auto"/>
          <w:sz w:val="24"/>
          <w:szCs w:val="24"/>
          <w:vertAlign w:val="superscript"/>
          <w:lang w:val="en-US" w:eastAsia="zh-CN"/>
        </w:rPr>
        <w:t>-4</w:t>
      </w:r>
      <w:r>
        <w:rPr>
          <w:rFonts w:hint="default" w:ascii="Times New Roman" w:hAnsi="Times New Roman" w:eastAsia="宋体" w:cs="Times New Roman"/>
          <w:color w:val="auto"/>
          <w:sz w:val="24"/>
          <w:szCs w:val="24"/>
          <w:lang w:val="en-US" w:eastAsia="zh-CN"/>
        </w:rPr>
        <w:t>kg/h；甲苯最高排放浓度为0.475mg/m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，排放速率最高为6.97×10</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kg/h；二甲苯最高排放浓度为0.347mg/m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，排放速率最高为4.95×10</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kg/h；VOCs</w:t>
      </w:r>
      <w:r>
        <w:rPr>
          <w:rFonts w:hint="default" w:ascii="Times New Roman" w:hAnsi="Times New Roman" w:eastAsia="宋体" w:cs="Times New Roman"/>
          <w:color w:val="auto"/>
          <w:sz w:val="24"/>
          <w:szCs w:val="24"/>
          <w:vertAlign w:val="superscript"/>
          <w:lang w:val="en-US" w:eastAsia="zh-CN"/>
        </w:rPr>
        <w:t>[1]</w:t>
      </w:r>
      <w:r>
        <w:rPr>
          <w:rFonts w:hint="default" w:ascii="Times New Roman" w:hAnsi="Times New Roman" w:eastAsia="宋体" w:cs="Times New Roman"/>
          <w:color w:val="auto"/>
          <w:sz w:val="24"/>
          <w:szCs w:val="24"/>
          <w:lang w:val="en-US" w:eastAsia="zh-CN"/>
        </w:rPr>
        <w:t>最高排放浓度为0.99mg/m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，排放速率最高为0.014kg/h，均满足《挥发性有机物排放标准 第6部分：有机化工行业》表1标准要求。</w:t>
      </w:r>
    </w:p>
    <w:p>
      <w:p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无组织苯、甲苯、二甲苯均未检出，VOCs</w:t>
      </w:r>
      <w:r>
        <w:rPr>
          <w:rFonts w:hint="default" w:ascii="Times New Roman" w:hAnsi="Times New Roman" w:eastAsia="宋体" w:cs="Times New Roman"/>
          <w:color w:val="auto"/>
          <w:sz w:val="24"/>
          <w:szCs w:val="24"/>
          <w:vertAlign w:val="superscript"/>
          <w:lang w:val="en-US" w:eastAsia="zh-CN"/>
        </w:rPr>
        <w:t>[1]</w:t>
      </w:r>
      <w:r>
        <w:rPr>
          <w:rFonts w:hint="default" w:ascii="Times New Roman" w:hAnsi="Times New Roman" w:eastAsia="宋体" w:cs="Times New Roman"/>
          <w:color w:val="auto"/>
          <w:sz w:val="24"/>
          <w:szCs w:val="24"/>
          <w:lang w:val="en-US" w:eastAsia="zh-CN"/>
        </w:rPr>
        <w:t>小时浓度最高为0.33mg/m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，均满足《挥发性有机物排放标准 第6部分：有机化工行业》表3厂界监控点浓度限值。无组织VOCs</w:t>
      </w:r>
      <w:r>
        <w:rPr>
          <w:rFonts w:hint="default"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lang w:val="en-US" w:eastAsia="zh-CN"/>
        </w:rPr>
        <w:t>小时浓度最高为0.38mg/m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，满足《挥发性有机物无组织排放控制标准》（GB37822-2019）表A.1厂区内VOCs无组织排放监控要求。</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szCs w:val="24"/>
          <w:lang w:val="en-US" w:eastAsia="zh-CN"/>
        </w:rPr>
        <w:t>总量控制：根据《山东旭源塑业有限公司年产4000吨丙纶丝生产线扩建项目环境影响报告表》及批复意见要求，本项目VOCs排放总量控制指标为0.091t/a，根据本项目监测结果，结合熔融挤出工序年运行时间5250h，折算为满负荷运行状态下，本项目VOCs排放总量为0.071t/a，不超过总量控制指标。</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pPr>
        <w:spacing w:line="360" w:lineRule="auto"/>
        <w:ind w:left="216" w:leftChars="103" w:firstLine="480" w:firstLineChars="200"/>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验收监测期间，监测点位昼间噪声在55.2-58.9(dB)之间，监测点位夜间噪声在46.7-49.7(dB)之间，符合《工业企业厂界环境噪声排放标准》（GB12348－2008）中的2类标准限值。</w:t>
      </w:r>
    </w:p>
    <w:p>
      <w:pPr>
        <w:numPr>
          <w:ilvl w:val="0"/>
          <w:numId w:val="4"/>
        </w:num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同上文三、（四）</w:t>
      </w:r>
      <w:r>
        <w:rPr>
          <w:rFonts w:hint="default" w:ascii="Times New Roman" w:hAnsi="Times New Roman" w:eastAsia="宋体" w:cs="Times New Roman"/>
          <w:color w:val="auto"/>
          <w:sz w:val="24"/>
          <w:szCs w:val="24"/>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（二）环境管理调查</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eastAsia="zh-CN"/>
        </w:rPr>
        <w:t>山东旭源塑业有限公司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山东旭源塑业有限公司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spacing w:line="360" w:lineRule="auto"/>
        <w:ind w:left="233" w:leftChars="111" w:firstLine="518" w:firstLineChars="216"/>
        <w:jc w:val="left"/>
        <w:rPr>
          <w:rFonts w:hint="eastAsia"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五、</w:t>
      </w:r>
      <w:r>
        <w:rPr>
          <w:rFonts w:hint="eastAsia" w:cs="Times New Roman"/>
          <w:color w:val="auto"/>
          <w:sz w:val="24"/>
          <w:szCs w:val="24"/>
          <w:lang w:eastAsia="zh-CN"/>
        </w:rPr>
        <w:t>专家意见</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1、所有利用垂帘进行废气收集的部位，须确保垂帘完好，并定期检查废气收集设施的运行情况，确保废气有效收集和处理。</w:t>
      </w:r>
    </w:p>
    <w:p>
      <w:pPr>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eastAsia" w:cs="Times New Roman"/>
          <w:color w:val="auto"/>
          <w:sz w:val="24"/>
          <w:szCs w:val="24"/>
          <w:lang w:val="en-US" w:eastAsia="zh-CN"/>
        </w:rPr>
        <w:t>2</w:t>
      </w:r>
      <w:r>
        <w:rPr>
          <w:rFonts w:hint="default"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kern w:val="2"/>
          <w:sz w:val="24"/>
          <w:szCs w:val="24"/>
          <w:lang w:val="en-US" w:eastAsia="zh-CN" w:bidi="ar-SA"/>
        </w:rPr>
        <w:t>进一步规范</w:t>
      </w:r>
      <w:r>
        <w:rPr>
          <w:rFonts w:hint="eastAsia" w:cs="Times New Roman"/>
          <w:color w:val="auto"/>
          <w:kern w:val="2"/>
          <w:sz w:val="24"/>
          <w:szCs w:val="24"/>
          <w:lang w:val="en-US" w:eastAsia="zh-CN" w:bidi="ar-SA"/>
        </w:rPr>
        <w:t>固废间、</w:t>
      </w:r>
      <w:r>
        <w:rPr>
          <w:rFonts w:hint="default" w:ascii="Times New Roman" w:hAnsi="Times New Roman" w:eastAsia="宋体" w:cs="Times New Roman"/>
          <w:color w:val="auto"/>
          <w:kern w:val="2"/>
          <w:sz w:val="24"/>
          <w:szCs w:val="24"/>
          <w:lang w:val="en-US" w:eastAsia="zh-CN" w:bidi="ar-SA"/>
        </w:rPr>
        <w:t>危废暂存间，</w:t>
      </w:r>
      <w:r>
        <w:rPr>
          <w:rFonts w:hint="eastAsia" w:cs="Times New Roman"/>
          <w:color w:val="auto"/>
          <w:kern w:val="2"/>
          <w:sz w:val="24"/>
          <w:szCs w:val="24"/>
          <w:lang w:val="en-US" w:eastAsia="zh-CN" w:bidi="ar-SA"/>
        </w:rPr>
        <w:t>危废分类存放，</w:t>
      </w:r>
      <w:r>
        <w:rPr>
          <w:rFonts w:hint="default" w:ascii="Times New Roman" w:hAnsi="Times New Roman" w:eastAsia="宋体" w:cs="Times New Roman"/>
          <w:color w:val="auto"/>
          <w:kern w:val="2"/>
          <w:sz w:val="24"/>
          <w:szCs w:val="24"/>
          <w:lang w:val="en-US" w:eastAsia="zh-CN" w:bidi="ar-SA"/>
        </w:rPr>
        <w:t>完善管理制度和管理台账。严格按照《危险废物贮存污染控制标准》（GB18597-2001）及修改单要求，对产生的危险废物进行贮存和管理，并委托有资质的单位及时进行转移处置。</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eastAsia" w:cs="Times New Roman"/>
          <w:color w:val="auto"/>
          <w:kern w:val="2"/>
          <w:sz w:val="24"/>
          <w:szCs w:val="24"/>
          <w:lang w:val="en-US" w:eastAsia="zh-CN" w:bidi="ar-SA"/>
        </w:rPr>
        <w:t>3</w:t>
      </w:r>
      <w:r>
        <w:rPr>
          <w:rFonts w:hint="eastAsia" w:ascii="Times New Roman" w:hAnsi="Times New Roman" w:eastAsia="宋体" w:cs="Times New Roman"/>
          <w:color w:val="auto"/>
          <w:kern w:val="2"/>
          <w:sz w:val="24"/>
          <w:szCs w:val="24"/>
          <w:lang w:val="en-US" w:eastAsia="zh-CN" w:bidi="ar-SA"/>
        </w:rPr>
        <w:t>、</w:t>
      </w:r>
      <w:r>
        <w:rPr>
          <w:rFonts w:hint="default" w:ascii="Times New Roman" w:hAnsi="Times New Roman" w:eastAsia="宋体" w:cs="Times New Roman"/>
          <w:color w:val="auto"/>
          <w:kern w:val="2"/>
          <w:sz w:val="24"/>
          <w:szCs w:val="24"/>
          <w:lang w:val="en-US" w:eastAsia="zh-CN" w:bidi="ar-SA"/>
        </w:rPr>
        <w:t>落实自行监测计划，定期开展废气、噪声自行监测</w:t>
      </w:r>
      <w:r>
        <w:rPr>
          <w:rFonts w:hint="default" w:ascii="Times New Roman" w:hAnsi="Times New Roman" w:eastAsia="宋体" w:cs="Times New Roman"/>
          <w:color w:val="auto"/>
          <w:sz w:val="24"/>
          <w:szCs w:val="24"/>
          <w:lang w:val="en-US" w:eastAsia="zh-CN"/>
        </w:rPr>
        <w:t>。</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六、验收结论</w:t>
      </w:r>
      <w:bookmarkStart w:id="0" w:name="_GoBack"/>
      <w:bookmarkEnd w:id="0"/>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鉴于项目符合国家和地方相关产业标准及准入要求，用地符合当地规划，环保设施与生产配套，验收期间各项监测指标满足国家相关排放标准，该项目通过环保验收。</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七、验收人员信息见附件</w:t>
      </w:r>
    </w:p>
    <w:p>
      <w:pPr>
        <w:pStyle w:val="2"/>
        <w:rPr>
          <w:rFonts w:hint="default" w:ascii="Times New Roman" w:hAnsi="Times New Roman" w:eastAsia="宋体" w:cs="Times New Roman"/>
          <w:color w:val="auto"/>
          <w:sz w:val="24"/>
          <w:szCs w:val="24"/>
          <w:lang w:val="en-US" w:eastAsia="zh-CN"/>
        </w:rPr>
      </w:pPr>
    </w:p>
    <w:p>
      <w:pPr>
        <w:pStyle w:val="2"/>
        <w:rPr>
          <w:rFonts w:hint="default" w:ascii="Times New Roman" w:hAnsi="Times New Roman" w:eastAsia="宋体" w:cs="Times New Roman"/>
          <w:color w:val="auto"/>
          <w:sz w:val="24"/>
          <w:szCs w:val="24"/>
          <w:lang w:val="en-US" w:eastAsia="zh-CN"/>
        </w:rPr>
      </w:pPr>
    </w:p>
    <w:p>
      <w:pPr>
        <w:bidi w:val="0"/>
        <w:rPr>
          <w:rFonts w:hint="default"/>
        </w:rPr>
      </w:pPr>
    </w:p>
    <w:p>
      <w:pPr>
        <w:spacing w:line="360" w:lineRule="auto"/>
        <w:ind w:left="233" w:leftChars="111" w:firstLine="520" w:firstLineChars="216"/>
        <w:jc w:val="right"/>
        <w:rPr>
          <w:rFonts w:hint="eastAsia" w:cs="Times New Roman"/>
          <w:b/>
          <w:bCs/>
          <w:color w:val="auto"/>
          <w:sz w:val="24"/>
          <w:szCs w:val="24"/>
          <w:lang w:eastAsia="zh-CN"/>
        </w:rPr>
      </w:pPr>
      <w:r>
        <w:rPr>
          <w:rFonts w:hint="eastAsia" w:cs="Times New Roman"/>
          <w:b/>
          <w:bCs/>
          <w:color w:val="auto"/>
          <w:sz w:val="24"/>
          <w:szCs w:val="24"/>
          <w:lang w:eastAsia="zh-CN"/>
        </w:rPr>
        <w:t>山东旭源塑业有限公司</w:t>
      </w:r>
    </w:p>
    <w:p>
      <w:pPr>
        <w:spacing w:line="360" w:lineRule="auto"/>
        <w:ind w:left="233" w:leftChars="111" w:firstLine="520" w:firstLineChars="216"/>
        <w:jc w:val="right"/>
        <w:rPr>
          <w:rFonts w:hint="eastAsia" w:ascii="Times New Roman" w:hAnsi="Times New Roman" w:eastAsia="宋体" w:cs="Times New Roman"/>
          <w:b/>
          <w:bCs/>
          <w:color w:val="auto"/>
          <w:sz w:val="24"/>
          <w:szCs w:val="24"/>
          <w:highlight w:val="none"/>
          <w:lang w:eastAsia="zh-CN"/>
        </w:rPr>
      </w:pPr>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bCs/>
          <w:color w:val="auto"/>
          <w:sz w:val="24"/>
          <w:szCs w:val="24"/>
          <w:highlight w:val="none"/>
        </w:rPr>
        <w:t xml:space="preserve">                      </w:t>
      </w:r>
      <w:r>
        <w:rPr>
          <w:rFonts w:hint="eastAsia" w:cs="Times New Roman"/>
          <w:b/>
          <w:bCs/>
          <w:color w:val="auto"/>
          <w:sz w:val="24"/>
          <w:szCs w:val="24"/>
          <w:highlight w:val="none"/>
          <w:lang w:eastAsia="zh-CN"/>
        </w:rPr>
        <w:t>2022年4月16日</w:t>
      </w:r>
    </w:p>
    <w:p>
      <w:pPr>
        <w:pStyle w:val="2"/>
        <w:rPr>
          <w:rFonts w:hint="default"/>
          <w:lang w:eastAsia="zh-CN"/>
        </w:rPr>
      </w:pPr>
    </w:p>
    <w:sectPr>
      <w:footerReference r:id="rId3"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5E2C2C"/>
    <w:multiLevelType w:val="singleLevel"/>
    <w:tmpl w:val="C65E2C2C"/>
    <w:lvl w:ilvl="0" w:tentative="0">
      <w:start w:val="4"/>
      <w:numFmt w:val="decimal"/>
      <w:suff w:val="space"/>
      <w:lvlText w:val="%1."/>
      <w:lvlJc w:val="left"/>
    </w:lvl>
  </w:abstractNum>
  <w:abstractNum w:abstractNumId="1">
    <w:nsid w:val="EC370676"/>
    <w:multiLevelType w:val="singleLevel"/>
    <w:tmpl w:val="EC370676"/>
    <w:lvl w:ilvl="0" w:tentative="0">
      <w:start w:val="1"/>
      <w:numFmt w:val="decimal"/>
      <w:suff w:val="space"/>
      <w:lvlText w:val="%1."/>
      <w:lvlJc w:val="left"/>
    </w:lvl>
  </w:abstractNum>
  <w:abstractNum w:abstractNumId="2">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wYTNiZWI1N2FhZGJiMDc2OThhNGUzNmFjY2E4ZjUifQ=="/>
  </w:docVars>
  <w:rsids>
    <w:rsidRoot w:val="00000000"/>
    <w:rsid w:val="00D403B8"/>
    <w:rsid w:val="01A67464"/>
    <w:rsid w:val="02E1230E"/>
    <w:rsid w:val="0363342C"/>
    <w:rsid w:val="0400088B"/>
    <w:rsid w:val="06DC5C52"/>
    <w:rsid w:val="0705220E"/>
    <w:rsid w:val="07E235D4"/>
    <w:rsid w:val="0A775B6C"/>
    <w:rsid w:val="0BB105F9"/>
    <w:rsid w:val="0BCD78E3"/>
    <w:rsid w:val="0BD4352F"/>
    <w:rsid w:val="0C9D7A18"/>
    <w:rsid w:val="0D002E61"/>
    <w:rsid w:val="0E9F521D"/>
    <w:rsid w:val="110D6D4E"/>
    <w:rsid w:val="12BE4513"/>
    <w:rsid w:val="13242E95"/>
    <w:rsid w:val="17073D8B"/>
    <w:rsid w:val="188E6607"/>
    <w:rsid w:val="18B2210E"/>
    <w:rsid w:val="18D05E89"/>
    <w:rsid w:val="19BD6A9B"/>
    <w:rsid w:val="1AAF6CA7"/>
    <w:rsid w:val="1B753DC5"/>
    <w:rsid w:val="1B7C7285"/>
    <w:rsid w:val="1BAC68BE"/>
    <w:rsid w:val="1D4B1F15"/>
    <w:rsid w:val="1DF30D46"/>
    <w:rsid w:val="1E9D1B02"/>
    <w:rsid w:val="20F95110"/>
    <w:rsid w:val="21E62141"/>
    <w:rsid w:val="22FE6CD0"/>
    <w:rsid w:val="23253252"/>
    <w:rsid w:val="24DD3549"/>
    <w:rsid w:val="27420539"/>
    <w:rsid w:val="27776D4F"/>
    <w:rsid w:val="284C33EF"/>
    <w:rsid w:val="286B6E9D"/>
    <w:rsid w:val="2BD129D7"/>
    <w:rsid w:val="2BFB35B9"/>
    <w:rsid w:val="2C8345D6"/>
    <w:rsid w:val="2DE61E9D"/>
    <w:rsid w:val="2E594393"/>
    <w:rsid w:val="31572BC2"/>
    <w:rsid w:val="337178B1"/>
    <w:rsid w:val="33E80446"/>
    <w:rsid w:val="355B58BF"/>
    <w:rsid w:val="35A21894"/>
    <w:rsid w:val="35CA7C00"/>
    <w:rsid w:val="36292142"/>
    <w:rsid w:val="371221B6"/>
    <w:rsid w:val="395656FC"/>
    <w:rsid w:val="3A002C99"/>
    <w:rsid w:val="3B2962D5"/>
    <w:rsid w:val="3B9345B4"/>
    <w:rsid w:val="3C495586"/>
    <w:rsid w:val="3C614E95"/>
    <w:rsid w:val="3D216C63"/>
    <w:rsid w:val="3D481CA9"/>
    <w:rsid w:val="3F763BD3"/>
    <w:rsid w:val="407E79EC"/>
    <w:rsid w:val="425A3055"/>
    <w:rsid w:val="42D02360"/>
    <w:rsid w:val="42ED0B8D"/>
    <w:rsid w:val="440B2C50"/>
    <w:rsid w:val="45B12AB5"/>
    <w:rsid w:val="46440069"/>
    <w:rsid w:val="4682573C"/>
    <w:rsid w:val="483D5E39"/>
    <w:rsid w:val="4BC32318"/>
    <w:rsid w:val="4CF47C94"/>
    <w:rsid w:val="4D966CB6"/>
    <w:rsid w:val="51603323"/>
    <w:rsid w:val="52082039"/>
    <w:rsid w:val="520B1012"/>
    <w:rsid w:val="56DD1623"/>
    <w:rsid w:val="584674DB"/>
    <w:rsid w:val="59632F9B"/>
    <w:rsid w:val="59772D6C"/>
    <w:rsid w:val="5B994AD0"/>
    <w:rsid w:val="5BB97A85"/>
    <w:rsid w:val="5C705EEE"/>
    <w:rsid w:val="5D580A9C"/>
    <w:rsid w:val="5F0C4CFF"/>
    <w:rsid w:val="602A22C2"/>
    <w:rsid w:val="64C4763E"/>
    <w:rsid w:val="65826A80"/>
    <w:rsid w:val="66FB5067"/>
    <w:rsid w:val="6A4209DB"/>
    <w:rsid w:val="6ABA50EB"/>
    <w:rsid w:val="6DEB0CC4"/>
    <w:rsid w:val="6E620EC2"/>
    <w:rsid w:val="70346B17"/>
    <w:rsid w:val="72964393"/>
    <w:rsid w:val="72C90F73"/>
    <w:rsid w:val="7593546D"/>
    <w:rsid w:val="75C3338A"/>
    <w:rsid w:val="76AB541C"/>
    <w:rsid w:val="77930543"/>
    <w:rsid w:val="797934A5"/>
    <w:rsid w:val="7FC4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unhideWhenUsed/>
    <w:qFormat/>
    <w:uiPriority w:val="99"/>
    <w:pPr>
      <w:jc w:val="left"/>
    </w:pPr>
  </w:style>
  <w:style w:type="paragraph" w:styleId="4">
    <w:name w:val="Body Text"/>
    <w:basedOn w:val="1"/>
    <w:next w:val="5"/>
    <w:qFormat/>
    <w:uiPriority w:val="0"/>
    <w:pPr>
      <w:spacing w:after="120"/>
    </w:pPr>
  </w:style>
  <w:style w:type="paragraph" w:styleId="5">
    <w:name w:val="Date"/>
    <w:basedOn w:val="1"/>
    <w:next w:val="1"/>
    <w:qFormat/>
    <w:uiPriority w:val="0"/>
    <w:pPr>
      <w:ind w:left="100" w:leftChars="2500"/>
    </w:pPr>
    <w:rPr>
      <w:rFonts w:ascii="宋体" w:hAnsi="宋体"/>
      <w:szCs w:val="24"/>
    </w:rPr>
  </w:style>
  <w:style w:type="paragraph" w:styleId="6">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7">
    <w:name w:val="Plain Text"/>
    <w:basedOn w:val="1"/>
    <w:unhideWhenUsed/>
    <w:qFormat/>
    <w:uiPriority w:val="99"/>
    <w:rPr>
      <w:rFonts w:ascii="宋体" w:hAnsi="Courier New" w:cs="Courier New"/>
      <w:szCs w:val="21"/>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1">
    <w:name w:val="Table Grid"/>
    <w:basedOn w:val="10"/>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3">
    <w:name w:val="List Paragraph"/>
    <w:basedOn w:val="1"/>
    <w:qFormat/>
    <w:uiPriority w:val="99"/>
    <w:pPr>
      <w:ind w:firstLine="420" w:firstLineChars="200"/>
    </w:pPr>
  </w:style>
  <w:style w:type="paragraph" w:customStyle="1" w:styleId="14">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2811</Words>
  <Characters>3112</Characters>
  <Lines>0</Lines>
  <Paragraphs>0</Paragraphs>
  <TotalTime>3</TotalTime>
  <ScaleCrop>false</ScaleCrop>
  <LinksUpToDate>false</LinksUpToDate>
  <CharactersWithSpaces>3153</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2022-05-09T01:33:08Z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3D5EB39E1CB94214806B83175F5F442D</vt:lpwstr>
  </property>
  <property fmtid="{D5CDD505-2E9C-101B-9397-08002B2CF9AE}" pid="4" name="commondata">
    <vt:lpwstr>eyJoZGlkIjoiMjQwYTNiZWI1N2FhZGJiMDc2OThhNGUzNmFjY2E4ZjUifQ==</vt:lpwstr>
  </property>
</Properties>
</file>