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r>
        <w:t>山东波菲特环保科技有限公司风机风扇制造</w:t>
      </w:r>
    </w:p>
    <w:p>
      <w:pPr>
        <w:spacing w:before="214"/>
        <w:ind w:left="1598" w:right="1404" w:firstLine="0"/>
        <w:jc w:val="center"/>
        <w:rPr>
          <w:rFonts w:hint="eastAsia" w:ascii="黑体" w:eastAsia="黑体"/>
          <w:b/>
          <w:sz w:val="32"/>
        </w:rPr>
      </w:pPr>
      <w:r>
        <w:rPr>
          <w:rFonts w:hint="eastAsia" w:ascii="黑体" w:eastAsia="黑体"/>
          <w:b/>
          <w:sz w:val="32"/>
        </w:rPr>
        <w:t>竣工环境保护验收现场检查及验收工作组验收意见</w:t>
      </w:r>
    </w:p>
    <w:p>
      <w:pPr>
        <w:pStyle w:val="5"/>
        <w:rPr>
          <w:rFonts w:ascii="黑体"/>
          <w:b/>
          <w:sz w:val="32"/>
        </w:rPr>
      </w:pPr>
    </w:p>
    <w:p>
      <w:pPr>
        <w:pStyle w:val="5"/>
        <w:spacing w:before="5"/>
        <w:rPr>
          <w:rFonts w:ascii="黑体"/>
          <w:b/>
          <w:sz w:val="35"/>
        </w:rPr>
      </w:pPr>
    </w:p>
    <w:p>
      <w:pPr>
        <w:pStyle w:val="5"/>
        <w:spacing w:line="417" w:lineRule="auto"/>
        <w:ind w:left="275" w:right="381" w:firstLine="561"/>
        <w:jc w:val="both"/>
      </w:pPr>
      <w:r>
        <w:rPr>
          <w:rFonts w:ascii="Times New Roman" w:eastAsia="Times New Roman"/>
        </w:rPr>
        <w:t xml:space="preserve">2019 </w:t>
      </w:r>
      <w:r>
        <w:rPr>
          <w:spacing w:val="-34"/>
        </w:rPr>
        <w:t xml:space="preserve">年 </w:t>
      </w:r>
      <w:r>
        <w:rPr>
          <w:rFonts w:ascii="Times New Roman" w:eastAsia="Times New Roman"/>
          <w:spacing w:val="-4"/>
        </w:rPr>
        <w:t xml:space="preserve">11 </w:t>
      </w:r>
      <w:r>
        <w:rPr>
          <w:spacing w:val="-34"/>
        </w:rPr>
        <w:t xml:space="preserve">月 </w:t>
      </w:r>
      <w:r>
        <w:rPr>
          <w:rFonts w:ascii="Times New Roman" w:eastAsia="Times New Roman"/>
        </w:rPr>
        <w:t xml:space="preserve">23 </w:t>
      </w:r>
      <w:r>
        <w:rPr>
          <w:spacing w:val="-14"/>
        </w:rPr>
        <w:t>日，山东波菲特环保科技有限公司组织召开山东波菲特环</w:t>
      </w:r>
      <w:r>
        <w:rPr>
          <w:spacing w:val="-6"/>
        </w:rPr>
        <w:t>保科技有限公司风机风扇制造竣工环境保护验收现场检查及验收会。验收组由业主单位（山东波菲特环保科技有限公司</w:t>
      </w:r>
      <w:r>
        <w:rPr>
          <w:spacing w:val="-140"/>
        </w:rPr>
        <w:t>）</w:t>
      </w:r>
      <w:r>
        <w:t>、监测单位（山东聊和环保科技有</w:t>
      </w:r>
      <w:r>
        <w:rPr>
          <w:spacing w:val="-2"/>
        </w:rPr>
        <w:t>限公司</w:t>
      </w:r>
      <w:r>
        <w:t>）</w:t>
      </w:r>
      <w:r>
        <w:rPr>
          <w:spacing w:val="-20"/>
        </w:rPr>
        <w:t>并特邀</w:t>
      </w:r>
      <w:r>
        <w:rPr>
          <w:rFonts w:ascii="Times New Roman" w:eastAsia="Times New Roman"/>
        </w:rPr>
        <w:t>3</w:t>
      </w:r>
      <w:r>
        <w:rPr>
          <w:spacing w:val="-3"/>
        </w:rPr>
        <w:t>名技术专家组成。</w:t>
      </w:r>
    </w:p>
    <w:p>
      <w:pPr>
        <w:pStyle w:val="5"/>
        <w:spacing w:line="417" w:lineRule="auto"/>
        <w:ind w:left="275" w:right="381" w:firstLine="561"/>
        <w:jc w:val="both"/>
      </w:pPr>
      <w:r>
        <w:rPr>
          <w:spacing w:val="-7"/>
        </w:rPr>
        <w:t>验收组现场核实了本项目环保工作落实情况，根据项目竣工环境保护验收</w:t>
      </w:r>
      <w:r>
        <w:rPr>
          <w:spacing w:val="-15"/>
        </w:rPr>
        <w:t>监测报告并对照《建设项目环境保护管理条例》</w:t>
      </w:r>
      <w:r>
        <w:rPr>
          <w:spacing w:val="-17"/>
        </w:rPr>
        <w:t>、《建设项目竣工环境保护验收</w:t>
      </w:r>
      <w:r>
        <w:rPr>
          <w:spacing w:val="-15"/>
        </w:rPr>
        <w:t>暂行办法》，依照国家有关法律法规、建设项目竣工环境保护验收技术规范、</w:t>
      </w:r>
      <w:r>
        <w:rPr>
          <w:spacing w:val="-7"/>
        </w:rPr>
        <w:t>本项目环境影响评价报告表和审批部门审批决定等，对本项目进行验收。经研</w:t>
      </w:r>
      <w:r>
        <w:rPr>
          <w:spacing w:val="-3"/>
        </w:rPr>
        <w:t>究形成验收意见如下：</w:t>
      </w:r>
    </w:p>
    <w:p>
      <w:pPr>
        <w:pStyle w:val="5"/>
        <w:spacing w:line="358" w:lineRule="exact"/>
        <w:ind w:left="837"/>
      </w:pPr>
      <w:r>
        <w:t>一、工程建设基本情况</w:t>
      </w:r>
    </w:p>
    <w:p>
      <w:pPr>
        <w:pStyle w:val="5"/>
        <w:spacing w:before="8"/>
        <w:rPr>
          <w:sz w:val="20"/>
        </w:rPr>
      </w:pPr>
    </w:p>
    <w:p>
      <w:pPr>
        <w:pStyle w:val="5"/>
        <w:ind w:left="1135"/>
      </w:pPr>
      <w:r>
        <w:t>（一）建设地点、规模、主要建设内容</w:t>
      </w:r>
    </w:p>
    <w:p>
      <w:pPr>
        <w:pStyle w:val="5"/>
        <w:spacing w:before="9"/>
        <w:rPr>
          <w:sz w:val="20"/>
        </w:rPr>
      </w:pPr>
    </w:p>
    <w:p>
      <w:pPr>
        <w:pStyle w:val="5"/>
        <w:spacing w:line="417" w:lineRule="auto"/>
        <w:ind w:left="292" w:right="381" w:firstLine="624"/>
      </w:pPr>
      <w:r>
        <w:rPr>
          <w:spacing w:val="-3"/>
        </w:rPr>
        <w:t>山东波菲特环保科技有限公司位于山东省聊城市东昌府区嘉明经济开发</w:t>
      </w:r>
      <w:r>
        <w:rPr>
          <w:spacing w:val="-8"/>
        </w:rPr>
        <w:t>区聊临东路路东聊城市昌裕漆业有限公司。山东波菲特环保科技有限公司</w:t>
      </w:r>
      <w:r>
        <w:rPr>
          <w:spacing w:val="-15"/>
        </w:rPr>
        <w:t xml:space="preserve">占地面积 </w:t>
      </w:r>
      <w:r>
        <w:rPr>
          <w:rFonts w:hint="eastAsia" w:ascii="Times New Roman"/>
          <w:lang w:val="en-US" w:eastAsia="zh-CN"/>
        </w:rPr>
        <w:t>2400</w:t>
      </w:r>
      <w:r>
        <w:rPr>
          <w:rFonts w:ascii="Times New Roman" w:eastAsia="Times New Roman"/>
        </w:rPr>
        <w:t xml:space="preserve"> </w:t>
      </w:r>
      <w:r>
        <w:rPr>
          <w:spacing w:val="-16"/>
        </w:rPr>
        <w:t>平方米，总投资</w:t>
      </w:r>
      <w:r>
        <w:rPr>
          <w:rFonts w:ascii="Times New Roman" w:eastAsia="Times New Roman"/>
        </w:rPr>
        <w:t>5000</w:t>
      </w:r>
      <w:r>
        <w:rPr>
          <w:spacing w:val="-3"/>
        </w:rPr>
        <w:t>万元建设风机风扇制造项</w:t>
      </w:r>
      <w:r>
        <w:rPr>
          <w:spacing w:val="-13"/>
        </w:rPr>
        <w:t>目，生产能力为年加工</w:t>
      </w:r>
      <w:r>
        <w:rPr>
          <w:rFonts w:ascii="Times New Roman" w:eastAsia="Times New Roman"/>
        </w:rPr>
        <w:t xml:space="preserve">3000 </w:t>
      </w:r>
      <w:r>
        <w:rPr>
          <w:spacing w:val="-7"/>
        </w:rPr>
        <w:t>台无动力风机、</w:t>
      </w:r>
      <w:r>
        <w:rPr>
          <w:rFonts w:ascii="Times New Roman" w:eastAsia="Times New Roman"/>
        </w:rPr>
        <w:t xml:space="preserve">500 </w:t>
      </w:r>
      <w:r>
        <w:rPr>
          <w:spacing w:val="-8"/>
        </w:rPr>
        <w:t>台轴流风机、</w:t>
      </w:r>
      <w:r>
        <w:rPr>
          <w:rFonts w:ascii="Times New Roman" w:eastAsia="Times New Roman"/>
        </w:rPr>
        <w:t xml:space="preserve">10000 </w:t>
      </w:r>
      <w:r>
        <w:rPr>
          <w:spacing w:val="-1"/>
        </w:rPr>
        <w:t>米通风气</w:t>
      </w:r>
      <w:r>
        <w:rPr>
          <w:spacing w:val="-6"/>
        </w:rPr>
        <w:t>楼，购置</w:t>
      </w:r>
      <w:r>
        <w:rPr>
          <w:rFonts w:hint="eastAsia"/>
          <w:spacing w:val="-6"/>
          <w:lang w:eastAsia="zh-CN"/>
        </w:rPr>
        <w:t>折弯机、压板机</w:t>
      </w:r>
      <w:r>
        <w:rPr>
          <w:spacing w:val="-6"/>
        </w:rPr>
        <w:t>等加工设备，项目职工</w:t>
      </w:r>
      <w:r>
        <w:rPr>
          <w:rFonts w:ascii="Times New Roman" w:eastAsia="Times New Roman"/>
        </w:rPr>
        <w:t xml:space="preserve">19 </w:t>
      </w:r>
      <w:r>
        <w:rPr>
          <w:spacing w:val="-13"/>
        </w:rPr>
        <w:t>人，实行白班</w:t>
      </w:r>
      <w:r>
        <w:rPr>
          <w:rFonts w:ascii="Times New Roman" w:eastAsia="Times New Roman"/>
        </w:rPr>
        <w:t>8.5</w:t>
      </w:r>
      <w:r>
        <w:t>小时工作制，年生产</w:t>
      </w:r>
      <w:r>
        <w:rPr>
          <w:rFonts w:ascii="Times New Roman" w:eastAsia="Times New Roman"/>
        </w:rPr>
        <w:t xml:space="preserve">300 </w:t>
      </w:r>
      <w:r>
        <w:t>天。</w:t>
      </w:r>
    </w:p>
    <w:p>
      <w:pPr>
        <w:pStyle w:val="5"/>
        <w:keepNext w:val="0"/>
        <w:keepLines w:val="0"/>
        <w:pageBreakBefore w:val="0"/>
        <w:widowControl w:val="0"/>
        <w:kinsoku/>
        <w:wordWrap/>
        <w:overflowPunct/>
        <w:topLinePunct w:val="0"/>
        <w:autoSpaceDE w:val="0"/>
        <w:autoSpaceDN w:val="0"/>
        <w:bidi w:val="0"/>
        <w:adjustRightInd/>
        <w:snapToGrid/>
        <w:spacing w:before="0"/>
        <w:ind w:left="964"/>
        <w:textAlignment w:val="auto"/>
      </w:pPr>
      <w:r>
        <w:t>（二）环保审批情况</w:t>
      </w:r>
    </w:p>
    <w:p>
      <w:pPr>
        <w:pStyle w:val="5"/>
        <w:spacing w:before="9"/>
        <w:rPr>
          <w:sz w:val="20"/>
        </w:rPr>
      </w:pPr>
    </w:p>
    <w:p>
      <w:pPr>
        <w:pStyle w:val="5"/>
        <w:spacing w:line="417" w:lineRule="auto"/>
        <w:ind w:left="275" w:right="308" w:firstLine="561"/>
      </w:pPr>
      <w:r>
        <w:rPr>
          <w:rFonts w:ascii="Times New Roman" w:eastAsia="Times New Roman"/>
        </w:rPr>
        <w:t xml:space="preserve">2018 </w:t>
      </w:r>
      <w:r>
        <w:t>年</w:t>
      </w:r>
      <w:r>
        <w:rPr>
          <w:rFonts w:ascii="Times New Roman" w:eastAsia="Times New Roman"/>
        </w:rPr>
        <w:t>8</w:t>
      </w:r>
      <w:r>
        <w:t>月现为山东波菲特环保科技有限公司委托广西南宁新元环保技术有限公司编制了《山东波菲特环保科技有限公司风机风扇制造环境影响报告</w:t>
      </w:r>
    </w:p>
    <w:p>
      <w:pPr>
        <w:spacing w:after="0" w:line="417" w:lineRule="auto"/>
        <w:sectPr>
          <w:type w:val="continuous"/>
          <w:pgSz w:w="11910" w:h="16840"/>
          <w:pgMar w:top="850" w:right="850" w:bottom="850" w:left="850" w:header="720" w:footer="720" w:gutter="0"/>
          <w:cols w:equalWidth="0" w:num="1">
            <w:col w:w="10110"/>
          </w:cols>
          <w:rtlGutter w:val="0"/>
          <w:docGrid w:linePitch="0" w:charSpace="0"/>
        </w:sectPr>
      </w:pPr>
    </w:p>
    <w:p>
      <w:pPr>
        <w:pStyle w:val="5"/>
        <w:spacing w:before="55" w:line="417" w:lineRule="auto"/>
        <w:ind w:left="275" w:right="379"/>
        <w:jc w:val="both"/>
      </w:pPr>
      <w:r>
        <w:rPr>
          <w:spacing w:val="-47"/>
        </w:rPr>
        <w:t>表》，</w:t>
      </w:r>
      <w:r>
        <w:rPr>
          <w:rFonts w:ascii="Times New Roman" w:eastAsia="Times New Roman"/>
        </w:rPr>
        <w:t>2018</w:t>
      </w:r>
      <w:r>
        <w:rPr>
          <w:spacing w:val="-34"/>
        </w:rPr>
        <w:t>年</w:t>
      </w:r>
      <w:r>
        <w:rPr>
          <w:rFonts w:ascii="Times New Roman" w:eastAsia="Times New Roman"/>
        </w:rPr>
        <w:t>9</w:t>
      </w:r>
      <w:r>
        <w:rPr>
          <w:spacing w:val="-37"/>
        </w:rPr>
        <w:t>月</w:t>
      </w:r>
      <w:r>
        <w:rPr>
          <w:rFonts w:ascii="Times New Roman" w:eastAsia="Times New Roman"/>
        </w:rPr>
        <w:t>17</w:t>
      </w:r>
      <w:r>
        <w:rPr>
          <w:spacing w:val="-1"/>
        </w:rPr>
        <w:t>日聊城市环境保护局东昌府分局以聊东环审</w:t>
      </w:r>
      <w:r>
        <w:rPr>
          <w:rFonts w:ascii="Times New Roman" w:eastAsia="Times New Roman"/>
        </w:rPr>
        <w:t xml:space="preserve">[2018]227 </w:t>
      </w:r>
      <w:r>
        <w:t>号</w:t>
      </w:r>
      <w:r>
        <w:rPr>
          <w:spacing w:val="-3"/>
        </w:rPr>
        <w:t>对其进行了审批。</w:t>
      </w:r>
      <w:r>
        <w:rPr>
          <w:rFonts w:ascii="Times New Roman" w:eastAsia="Times New Roman"/>
        </w:rPr>
        <w:t>2019</w:t>
      </w:r>
      <w:r>
        <w:rPr>
          <w:spacing w:val="-35"/>
        </w:rPr>
        <w:t>年</w:t>
      </w:r>
      <w:r>
        <w:rPr>
          <w:rFonts w:ascii="Times New Roman" w:eastAsia="Times New Roman"/>
          <w:spacing w:val="-4"/>
        </w:rPr>
        <w:t>11</w:t>
      </w:r>
      <w:r>
        <w:rPr>
          <w:spacing w:val="-3"/>
        </w:rPr>
        <w:t>月份山东波菲特环保科技有限公司委托山东聊和</w:t>
      </w:r>
      <w:r>
        <w:rPr>
          <w:spacing w:val="-7"/>
        </w:rPr>
        <w:t>环保科技有限公司进行该项目的环保验收监测工作，接受委托后山东聊和环保科技有限公司组织有关技术人员进行现场踏勘，依据监测技术规范制定了环保</w:t>
      </w:r>
      <w:r>
        <w:rPr>
          <w:spacing w:val="-13"/>
        </w:rPr>
        <w:t>验收监测方案，并于</w:t>
      </w:r>
      <w:r>
        <w:rPr>
          <w:rFonts w:ascii="Times New Roman" w:eastAsia="Times New Roman"/>
        </w:rPr>
        <w:t>2019</w:t>
      </w:r>
      <w:r>
        <w:rPr>
          <w:spacing w:val="-32"/>
        </w:rPr>
        <w:t>年</w:t>
      </w:r>
      <w:r>
        <w:rPr>
          <w:rFonts w:ascii="Times New Roman" w:eastAsia="Times New Roman"/>
          <w:spacing w:val="-5"/>
        </w:rPr>
        <w:t>11</w:t>
      </w:r>
      <w:r>
        <w:rPr>
          <w:spacing w:val="-31"/>
        </w:rPr>
        <w:t>月</w:t>
      </w:r>
      <w:r>
        <w:rPr>
          <w:rFonts w:ascii="Times New Roman" w:eastAsia="Times New Roman"/>
        </w:rPr>
        <w:t>4</w:t>
      </w:r>
      <w:r>
        <w:rPr>
          <w:spacing w:val="-21"/>
        </w:rPr>
        <w:t>日和</w:t>
      </w:r>
      <w:r>
        <w:rPr>
          <w:rFonts w:ascii="Times New Roman" w:eastAsia="Times New Roman"/>
          <w:spacing w:val="-5"/>
        </w:rPr>
        <w:t>11</w:t>
      </w:r>
      <w:r>
        <w:rPr>
          <w:spacing w:val="-32"/>
        </w:rPr>
        <w:t>月</w:t>
      </w:r>
      <w:r>
        <w:rPr>
          <w:rFonts w:ascii="Times New Roman" w:eastAsia="Times New Roman"/>
        </w:rPr>
        <w:t>5</w:t>
      </w:r>
      <w:r>
        <w:t>日对厂区有关污染源进行了</w:t>
      </w:r>
      <w:r>
        <w:rPr>
          <w:spacing w:val="-3"/>
        </w:rPr>
        <w:t>监测，根据验收监测结果和现场检查情况编制了项目验收监测报告。</w:t>
      </w:r>
    </w:p>
    <w:p>
      <w:pPr>
        <w:pStyle w:val="5"/>
        <w:spacing w:line="357" w:lineRule="exact"/>
        <w:ind w:left="696"/>
      </w:pPr>
      <w:r>
        <w:t>（三）投资情况</w:t>
      </w:r>
    </w:p>
    <w:p>
      <w:pPr>
        <w:pStyle w:val="5"/>
        <w:spacing w:before="9"/>
        <w:rPr>
          <w:sz w:val="20"/>
        </w:rPr>
      </w:pPr>
    </w:p>
    <w:p>
      <w:pPr>
        <w:pStyle w:val="5"/>
        <w:ind w:left="837"/>
      </w:pPr>
      <w:r>
        <w:t>实际总投资</w:t>
      </w:r>
      <w:r>
        <w:rPr>
          <w:rFonts w:ascii="Times New Roman" w:eastAsia="Times New Roman"/>
        </w:rPr>
        <w:t xml:space="preserve">5000 </w:t>
      </w:r>
      <w:r>
        <w:t>万元，其中环保投资</w:t>
      </w:r>
      <w:r>
        <w:rPr>
          <w:rFonts w:ascii="Times New Roman" w:eastAsia="Times New Roman"/>
        </w:rPr>
        <w:t>14</w:t>
      </w:r>
      <w:r>
        <w:t>万元。占总投</w:t>
      </w:r>
      <w:r>
        <w:rPr>
          <w:rFonts w:ascii="Times New Roman" w:eastAsia="Times New Roman"/>
        </w:rPr>
        <w:t>0.28</w:t>
      </w:r>
      <w:r>
        <w:t>％。</w:t>
      </w:r>
    </w:p>
    <w:p>
      <w:pPr>
        <w:pStyle w:val="5"/>
        <w:spacing w:before="266"/>
        <w:ind w:left="696"/>
      </w:pPr>
      <w:r>
        <w:t>（四）验收范围</w:t>
      </w:r>
    </w:p>
    <w:p>
      <w:pPr>
        <w:pStyle w:val="5"/>
        <w:spacing w:before="9"/>
        <w:rPr>
          <w:sz w:val="20"/>
        </w:rPr>
      </w:pPr>
    </w:p>
    <w:p>
      <w:pPr>
        <w:pStyle w:val="5"/>
        <w:spacing w:line="417" w:lineRule="auto"/>
        <w:ind w:left="837" w:right="3668"/>
      </w:pPr>
      <w:r>
        <w:t>山东波菲特环保科技有限公司风机风扇制造。二、工程变更情况</w:t>
      </w:r>
    </w:p>
    <w:p>
      <w:pPr>
        <w:pStyle w:val="2"/>
        <w:keepNext w:val="0"/>
        <w:keepLines w:val="0"/>
        <w:pageBreakBefore w:val="0"/>
        <w:widowControl w:val="0"/>
        <w:kinsoku/>
        <w:wordWrap/>
        <w:overflowPunct/>
        <w:topLinePunct w:val="0"/>
        <w:autoSpaceDE w:val="0"/>
        <w:autoSpaceDN w:val="0"/>
        <w:bidi w:val="0"/>
        <w:snapToGrid/>
        <w:spacing w:line="360" w:lineRule="auto"/>
        <w:textAlignment w:val="auto"/>
        <w:rPr>
          <w:rFonts w:hint="eastAsia" w:ascii="Times New Roman" w:hAnsi="Times New Roman" w:eastAsia="宋体" w:cs="Times New Roman"/>
          <w:b w:val="0"/>
          <w:bCs w:val="0"/>
          <w:color w:val="auto"/>
          <w:sz w:val="28"/>
          <w:szCs w:val="28"/>
          <w:lang w:val="en-US" w:eastAsia="zh-CN"/>
        </w:rPr>
      </w:pPr>
      <w:r>
        <w:rPr>
          <w:rFonts w:hint="eastAsia" w:ascii="Times New Roman" w:hAnsi="Times New Roman" w:eastAsia="宋体" w:cs="Times New Roman"/>
          <w:b w:val="0"/>
          <w:bCs w:val="0"/>
          <w:color w:val="auto"/>
          <w:sz w:val="28"/>
          <w:szCs w:val="28"/>
          <w:lang w:val="en-US" w:eastAsia="zh-CN"/>
        </w:rPr>
        <w:t>（1）设备变动情况</w:t>
      </w:r>
    </w:p>
    <w:p>
      <w:pPr>
        <w:pStyle w:val="2"/>
        <w:keepNext w:val="0"/>
        <w:keepLines w:val="0"/>
        <w:pageBreakBefore w:val="0"/>
        <w:widowControl w:val="0"/>
        <w:kinsoku/>
        <w:wordWrap/>
        <w:overflowPunct/>
        <w:topLinePunct w:val="0"/>
        <w:autoSpaceDE w:val="0"/>
        <w:autoSpaceDN w:val="0"/>
        <w:bidi w:val="0"/>
        <w:snapToGrid/>
        <w:spacing w:line="360" w:lineRule="auto"/>
        <w:textAlignment w:val="auto"/>
        <w:rPr>
          <w:rFonts w:hint="default" w:ascii="Times New Roman" w:hAnsi="Times New Roman" w:eastAsia="宋体" w:cs="Times New Roman"/>
          <w:b w:val="0"/>
          <w:bCs w:val="0"/>
          <w:color w:val="auto"/>
          <w:sz w:val="28"/>
          <w:szCs w:val="28"/>
          <w:lang w:val="en-US" w:eastAsia="zh-CN"/>
        </w:rPr>
      </w:pPr>
      <w:r>
        <w:rPr>
          <w:rFonts w:hint="eastAsia" w:ascii="Times New Roman" w:hAnsi="Times New Roman" w:eastAsia="宋体" w:cs="Times New Roman"/>
          <w:b w:val="0"/>
          <w:bCs w:val="0"/>
          <w:color w:val="auto"/>
          <w:sz w:val="28"/>
          <w:szCs w:val="28"/>
          <w:lang w:val="en-US" w:eastAsia="zh-CN"/>
        </w:rPr>
        <w:t>项目原环评中有1台切板机，实际生产过程中无切板机，由分条机代替切板机，原环评中无小型折弯机、锯床、</w:t>
      </w:r>
      <w:r>
        <w:rPr>
          <w:rFonts w:hint="eastAsia" w:ascii="Times New Roman" w:hAnsi="Times New Roman" w:cs="Times New Roman"/>
          <w:b w:val="0"/>
          <w:bCs w:val="0"/>
          <w:color w:val="000000"/>
          <w:sz w:val="28"/>
          <w:szCs w:val="28"/>
          <w:lang w:val="en-US" w:eastAsia="zh-CN"/>
        </w:rPr>
        <w:t>小型</w:t>
      </w:r>
      <w:r>
        <w:rPr>
          <w:rFonts w:hint="eastAsia" w:ascii="Times New Roman" w:hAnsi="Times New Roman" w:eastAsia="宋体" w:cs="Times New Roman"/>
          <w:b w:val="0"/>
          <w:bCs w:val="0"/>
          <w:color w:val="auto"/>
          <w:sz w:val="28"/>
          <w:szCs w:val="28"/>
          <w:lang w:val="en-US" w:eastAsia="zh-CN"/>
        </w:rPr>
        <w:t>切割机、压型机，实际生产过程中有1台小型折弯机、1台锯床、4台</w:t>
      </w:r>
      <w:r>
        <w:rPr>
          <w:rFonts w:hint="eastAsia" w:ascii="Times New Roman" w:hAnsi="Times New Roman" w:cs="Times New Roman"/>
          <w:b w:val="0"/>
          <w:bCs w:val="0"/>
          <w:color w:val="000000"/>
          <w:sz w:val="28"/>
          <w:szCs w:val="28"/>
          <w:lang w:val="en-US" w:eastAsia="zh-CN"/>
        </w:rPr>
        <w:t>小型</w:t>
      </w:r>
      <w:r>
        <w:rPr>
          <w:rFonts w:hint="eastAsia" w:ascii="Times New Roman" w:hAnsi="Times New Roman" w:eastAsia="宋体" w:cs="Times New Roman"/>
          <w:b w:val="0"/>
          <w:bCs w:val="0"/>
          <w:color w:val="auto"/>
          <w:sz w:val="28"/>
          <w:szCs w:val="28"/>
          <w:lang w:val="en-US" w:eastAsia="zh-CN"/>
        </w:rPr>
        <w:t>切割机、5台压型机，均为辅助设备，不属于重大变更。</w:t>
      </w:r>
    </w:p>
    <w:p>
      <w:pPr>
        <w:pStyle w:val="11"/>
        <w:keepNext w:val="0"/>
        <w:keepLines w:val="0"/>
        <w:pageBreakBefore w:val="0"/>
        <w:widowControl w:val="0"/>
        <w:numPr>
          <w:ilvl w:val="0"/>
          <w:numId w:val="0"/>
        </w:numPr>
        <w:kinsoku/>
        <w:wordWrap/>
        <w:overflowPunct/>
        <w:topLinePunct w:val="0"/>
        <w:autoSpaceDE w:val="0"/>
        <w:autoSpaceDN w:val="0"/>
        <w:bidi w:val="0"/>
        <w:snapToGrid/>
        <w:spacing w:line="360" w:lineRule="auto"/>
        <w:ind w:leftChars="200"/>
        <w:textAlignment w:val="auto"/>
        <w:rPr>
          <w:rFonts w:hint="eastAsia" w:ascii="Times New Roman" w:hAnsi="Times New Roman" w:cs="Times New Roman"/>
          <w:b w:val="0"/>
          <w:bCs w:val="0"/>
          <w:color w:val="auto"/>
          <w:sz w:val="28"/>
          <w:szCs w:val="28"/>
          <w:lang w:eastAsia="zh-CN"/>
        </w:rPr>
      </w:pPr>
      <w:r>
        <w:rPr>
          <w:rFonts w:hint="eastAsia" w:ascii="Times New Roman" w:hAnsi="Times New Roman" w:cs="Times New Roman"/>
          <w:b w:val="0"/>
          <w:bCs w:val="0"/>
          <w:color w:val="auto"/>
          <w:sz w:val="28"/>
          <w:szCs w:val="28"/>
          <w:lang w:eastAsia="zh-CN"/>
        </w:rPr>
        <w:t>（</w:t>
      </w:r>
      <w:r>
        <w:rPr>
          <w:rFonts w:hint="eastAsia" w:ascii="Times New Roman" w:hAnsi="Times New Roman" w:cs="Times New Roman"/>
          <w:b w:val="0"/>
          <w:bCs w:val="0"/>
          <w:color w:val="auto"/>
          <w:sz w:val="28"/>
          <w:szCs w:val="28"/>
          <w:lang w:val="en-US" w:eastAsia="zh-CN"/>
        </w:rPr>
        <w:t>2</w:t>
      </w:r>
      <w:r>
        <w:rPr>
          <w:rFonts w:hint="eastAsia" w:ascii="Times New Roman" w:hAnsi="Times New Roman" w:cs="Times New Roman"/>
          <w:b w:val="0"/>
          <w:bCs w:val="0"/>
          <w:color w:val="auto"/>
          <w:sz w:val="28"/>
          <w:szCs w:val="28"/>
          <w:lang w:eastAsia="zh-CN"/>
        </w:rPr>
        <w:t>）废水排放情况</w:t>
      </w:r>
    </w:p>
    <w:p>
      <w:pPr>
        <w:pStyle w:val="11"/>
        <w:keepNext w:val="0"/>
        <w:keepLines w:val="0"/>
        <w:pageBreakBefore w:val="0"/>
        <w:widowControl w:val="0"/>
        <w:numPr>
          <w:ilvl w:val="0"/>
          <w:numId w:val="0"/>
        </w:numPr>
        <w:kinsoku/>
        <w:wordWrap/>
        <w:overflowPunct/>
        <w:topLinePunct w:val="0"/>
        <w:autoSpaceDE w:val="0"/>
        <w:autoSpaceDN w:val="0"/>
        <w:bidi w:val="0"/>
        <w:snapToGrid/>
        <w:spacing w:line="360" w:lineRule="auto"/>
        <w:ind w:firstLine="560" w:firstLineChars="200"/>
        <w:textAlignment w:val="auto"/>
        <w:rPr>
          <w:rFonts w:hint="default" w:ascii="Times New Roman" w:hAnsi="Times New Roman" w:cs="Times New Roman"/>
          <w:b w:val="0"/>
          <w:bCs w:val="0"/>
          <w:color w:val="auto"/>
          <w:sz w:val="28"/>
          <w:szCs w:val="28"/>
          <w:lang w:val="en-US" w:eastAsia="zh-CN"/>
        </w:rPr>
      </w:pPr>
      <w:r>
        <w:rPr>
          <w:rFonts w:hint="eastAsia" w:ascii="Times New Roman" w:hAnsi="Times New Roman" w:cs="Times New Roman"/>
          <w:b w:val="0"/>
          <w:bCs w:val="0"/>
          <w:color w:val="auto"/>
          <w:sz w:val="28"/>
          <w:szCs w:val="28"/>
          <w:lang w:val="en-US" w:eastAsia="zh-CN"/>
        </w:rPr>
        <w:t>项目原环评中废水经市政污水管网进入污水处理厂处理，实际企业员工人数较少，无法形成径流，废水经旱厕收集后定期外运堆肥。</w:t>
      </w:r>
    </w:p>
    <w:p>
      <w:pPr>
        <w:pStyle w:val="11"/>
        <w:keepNext w:val="0"/>
        <w:keepLines w:val="0"/>
        <w:pageBreakBefore w:val="0"/>
        <w:widowControl w:val="0"/>
        <w:numPr>
          <w:ilvl w:val="0"/>
          <w:numId w:val="0"/>
        </w:numPr>
        <w:kinsoku/>
        <w:wordWrap/>
        <w:overflowPunct/>
        <w:topLinePunct w:val="0"/>
        <w:autoSpaceDE w:val="0"/>
        <w:autoSpaceDN w:val="0"/>
        <w:bidi w:val="0"/>
        <w:snapToGrid/>
        <w:spacing w:line="360" w:lineRule="auto"/>
        <w:ind w:firstLine="560" w:firstLineChars="200"/>
        <w:textAlignment w:val="auto"/>
        <w:rPr>
          <w:rFonts w:hint="eastAsia" w:ascii="Times New Roman" w:hAnsi="Times New Roman" w:cs="Times New Roman"/>
          <w:b w:val="0"/>
          <w:bCs w:val="0"/>
          <w:color w:val="auto"/>
          <w:sz w:val="28"/>
          <w:szCs w:val="28"/>
          <w:lang w:eastAsia="zh-CN"/>
        </w:rPr>
      </w:pPr>
      <w:r>
        <w:rPr>
          <w:rFonts w:hint="eastAsia" w:ascii="Times New Roman" w:hAnsi="Times New Roman" w:cs="Times New Roman"/>
          <w:b w:val="0"/>
          <w:bCs w:val="0"/>
          <w:color w:val="auto"/>
          <w:sz w:val="28"/>
          <w:szCs w:val="28"/>
          <w:lang w:eastAsia="zh-CN"/>
        </w:rPr>
        <w:t>（</w:t>
      </w:r>
      <w:r>
        <w:rPr>
          <w:rFonts w:hint="eastAsia" w:ascii="Times New Roman" w:hAnsi="Times New Roman" w:cs="Times New Roman"/>
          <w:b w:val="0"/>
          <w:bCs w:val="0"/>
          <w:color w:val="auto"/>
          <w:sz w:val="28"/>
          <w:szCs w:val="28"/>
          <w:lang w:val="en-US" w:eastAsia="zh-CN"/>
        </w:rPr>
        <w:t>3</w:t>
      </w:r>
      <w:r>
        <w:rPr>
          <w:rFonts w:hint="eastAsia" w:ascii="Times New Roman" w:hAnsi="Times New Roman" w:cs="Times New Roman"/>
          <w:b w:val="0"/>
          <w:bCs w:val="0"/>
          <w:color w:val="auto"/>
          <w:sz w:val="28"/>
          <w:szCs w:val="28"/>
          <w:lang w:eastAsia="zh-CN"/>
        </w:rPr>
        <w:t>）面积</w:t>
      </w:r>
    </w:p>
    <w:p>
      <w:pPr>
        <w:pStyle w:val="11"/>
        <w:numPr>
          <w:ilvl w:val="0"/>
          <w:numId w:val="0"/>
        </w:numPr>
        <w:spacing w:line="360" w:lineRule="auto"/>
        <w:ind w:firstLine="560" w:firstLineChars="200"/>
        <w:rPr>
          <w:rFonts w:hint="default" w:ascii="Times New Roman" w:hAnsi="Times New Roman" w:cs="Times New Roman"/>
          <w:b w:val="0"/>
          <w:bCs w:val="0"/>
          <w:color w:val="auto"/>
          <w:sz w:val="28"/>
          <w:szCs w:val="28"/>
          <w:lang w:val="en-US" w:eastAsia="zh-CN"/>
        </w:rPr>
      </w:pPr>
      <w:r>
        <w:rPr>
          <w:rFonts w:hint="eastAsia" w:ascii="Times New Roman" w:hAnsi="Times New Roman" w:cs="Times New Roman"/>
          <w:b w:val="0"/>
          <w:bCs w:val="0"/>
          <w:color w:val="auto"/>
          <w:sz w:val="28"/>
          <w:szCs w:val="28"/>
          <w:lang w:eastAsia="zh-CN"/>
        </w:rPr>
        <w:t>原环评中车间面积</w:t>
      </w:r>
      <w:r>
        <w:rPr>
          <w:rFonts w:hint="eastAsia" w:ascii="Times New Roman" w:hAnsi="Times New Roman" w:cs="Times New Roman"/>
          <w:b w:val="0"/>
          <w:bCs w:val="0"/>
          <w:color w:val="auto"/>
          <w:sz w:val="28"/>
          <w:szCs w:val="28"/>
          <w:lang w:val="en-US" w:eastAsia="zh-CN"/>
        </w:rPr>
        <w:t>1652m</w:t>
      </w:r>
      <w:r>
        <w:rPr>
          <w:rFonts w:hint="eastAsia" w:ascii="Times New Roman" w:hAnsi="Times New Roman" w:cs="Times New Roman"/>
          <w:b w:val="0"/>
          <w:bCs w:val="0"/>
          <w:color w:val="auto"/>
          <w:sz w:val="28"/>
          <w:szCs w:val="28"/>
          <w:vertAlign w:val="superscript"/>
          <w:lang w:val="en-US" w:eastAsia="zh-CN"/>
        </w:rPr>
        <w:t>2</w:t>
      </w:r>
      <w:r>
        <w:rPr>
          <w:rFonts w:hint="eastAsia" w:ascii="Times New Roman" w:hAnsi="Times New Roman" w:cs="Times New Roman"/>
          <w:b w:val="0"/>
          <w:bCs w:val="0"/>
          <w:color w:val="auto"/>
          <w:sz w:val="28"/>
          <w:szCs w:val="28"/>
          <w:lang w:val="en-US" w:eastAsia="zh-CN"/>
        </w:rPr>
        <w:t>，由于设备布局问题，实际面积2200m</w:t>
      </w:r>
      <w:r>
        <w:rPr>
          <w:rFonts w:hint="eastAsia" w:ascii="Times New Roman" w:hAnsi="Times New Roman" w:cs="Times New Roman"/>
          <w:b w:val="0"/>
          <w:bCs w:val="0"/>
          <w:color w:val="auto"/>
          <w:sz w:val="28"/>
          <w:szCs w:val="28"/>
          <w:vertAlign w:val="superscript"/>
          <w:lang w:val="en-US" w:eastAsia="zh-CN"/>
        </w:rPr>
        <w:t>2</w:t>
      </w:r>
      <w:r>
        <w:rPr>
          <w:rFonts w:hint="eastAsia" w:ascii="Times New Roman" w:hAnsi="Times New Roman" w:cs="Times New Roman"/>
          <w:b w:val="0"/>
          <w:bCs w:val="0"/>
          <w:color w:val="auto"/>
          <w:sz w:val="28"/>
          <w:szCs w:val="28"/>
          <w:lang w:val="en-US" w:eastAsia="zh-CN"/>
        </w:rPr>
        <w:t>，由于项目</w:t>
      </w:r>
      <w:r>
        <w:rPr>
          <w:rFonts w:hint="default" w:ascii="Times New Roman" w:hAnsi="Times New Roman" w:cs="Times New Roman"/>
          <w:sz w:val="28"/>
          <w:szCs w:val="28"/>
          <w:lang w:val="en-US" w:eastAsia="zh-CN"/>
        </w:rPr>
        <w:t>生产性质、生产地点、生产规模、环保设施</w:t>
      </w:r>
      <w:r>
        <w:rPr>
          <w:rFonts w:hint="eastAsia" w:ascii="Times New Roman" w:hAnsi="Times New Roman" w:cs="Times New Roman"/>
          <w:sz w:val="28"/>
          <w:szCs w:val="28"/>
          <w:lang w:val="en-US" w:eastAsia="zh-CN"/>
        </w:rPr>
        <w:t>和</w:t>
      </w:r>
      <w:r>
        <w:rPr>
          <w:rFonts w:hint="default" w:ascii="Times New Roman" w:hAnsi="Times New Roman" w:cs="Times New Roman"/>
          <w:sz w:val="28"/>
          <w:szCs w:val="28"/>
          <w:lang w:val="en-US" w:eastAsia="zh-CN"/>
        </w:rPr>
        <w:t>生产设备与工艺流</w:t>
      </w:r>
      <w:r>
        <w:rPr>
          <w:rFonts w:hint="eastAsia" w:ascii="Times New Roman" w:hAnsi="Times New Roman" w:cs="Times New Roman"/>
          <w:sz w:val="28"/>
          <w:szCs w:val="28"/>
          <w:lang w:val="en-US" w:eastAsia="zh-CN"/>
        </w:rPr>
        <w:t>程</w:t>
      </w:r>
      <w:r>
        <w:rPr>
          <w:rFonts w:hint="eastAsia" w:ascii="Times New Roman" w:hAnsi="Times New Roman" w:cs="Times New Roman"/>
          <w:b w:val="0"/>
          <w:bCs w:val="0"/>
          <w:color w:val="auto"/>
          <w:sz w:val="28"/>
          <w:szCs w:val="28"/>
          <w:lang w:val="en-US" w:eastAsia="zh-CN"/>
        </w:rPr>
        <w:t>未发生变化，不属于重大变更。</w:t>
      </w:r>
    </w:p>
    <w:p>
      <w:pPr>
        <w:pStyle w:val="11"/>
        <w:keepNext w:val="0"/>
        <w:keepLines w:val="0"/>
        <w:pageBreakBefore w:val="0"/>
        <w:widowControl w:val="0"/>
        <w:numPr>
          <w:ilvl w:val="0"/>
          <w:numId w:val="0"/>
        </w:numPr>
        <w:kinsoku/>
        <w:wordWrap/>
        <w:overflowPunct/>
        <w:topLinePunct w:val="0"/>
        <w:autoSpaceDE w:val="0"/>
        <w:autoSpaceDN w:val="0"/>
        <w:bidi w:val="0"/>
        <w:snapToGrid/>
        <w:spacing w:line="360" w:lineRule="auto"/>
        <w:ind w:firstLine="560" w:firstLineChars="200"/>
        <w:textAlignment w:val="auto"/>
        <w:rPr>
          <w:rFonts w:hint="eastAsia" w:ascii="Times New Roman" w:hAnsi="Times New Roman" w:cs="Times New Roman"/>
          <w:b w:val="0"/>
          <w:bCs w:val="0"/>
          <w:color w:val="auto"/>
          <w:sz w:val="28"/>
          <w:szCs w:val="28"/>
          <w:lang w:eastAsia="zh-CN"/>
        </w:rPr>
      </w:pPr>
      <w:r>
        <w:rPr>
          <w:rFonts w:hint="eastAsia" w:ascii="Times New Roman" w:hAnsi="Times New Roman" w:cs="Times New Roman"/>
          <w:b w:val="0"/>
          <w:bCs w:val="0"/>
          <w:color w:val="auto"/>
          <w:sz w:val="28"/>
          <w:szCs w:val="28"/>
          <w:lang w:eastAsia="zh-CN"/>
        </w:rPr>
        <w:t>（</w:t>
      </w:r>
      <w:r>
        <w:rPr>
          <w:rFonts w:hint="eastAsia" w:ascii="Times New Roman" w:hAnsi="Times New Roman" w:cs="Times New Roman"/>
          <w:b w:val="0"/>
          <w:bCs w:val="0"/>
          <w:color w:val="auto"/>
          <w:sz w:val="28"/>
          <w:szCs w:val="28"/>
          <w:lang w:val="en-US" w:eastAsia="zh-CN"/>
        </w:rPr>
        <w:t>4</w:t>
      </w:r>
      <w:r>
        <w:rPr>
          <w:rFonts w:hint="eastAsia" w:ascii="Times New Roman" w:hAnsi="Times New Roman" w:cs="Times New Roman"/>
          <w:b w:val="0"/>
          <w:bCs w:val="0"/>
          <w:color w:val="auto"/>
          <w:sz w:val="28"/>
          <w:szCs w:val="28"/>
          <w:lang w:eastAsia="zh-CN"/>
        </w:rPr>
        <w:t>）结论</w:t>
      </w:r>
    </w:p>
    <w:p>
      <w:pPr>
        <w:pStyle w:val="5"/>
        <w:keepNext w:val="0"/>
        <w:keepLines w:val="0"/>
        <w:pageBreakBefore w:val="0"/>
        <w:widowControl w:val="0"/>
        <w:kinsoku/>
        <w:wordWrap/>
        <w:overflowPunct/>
        <w:topLinePunct w:val="0"/>
        <w:autoSpaceDE w:val="0"/>
        <w:autoSpaceDN w:val="0"/>
        <w:bidi w:val="0"/>
        <w:snapToGrid/>
        <w:spacing w:line="360" w:lineRule="auto"/>
        <w:ind w:firstLine="560" w:firstLineChars="200"/>
        <w:textAlignment w:val="auto"/>
        <w:rPr>
          <w:rFonts w:hint="default" w:ascii="Times New Roman" w:hAnsi="Times New Roman" w:eastAsia="宋体" w:cs="Times New Roman"/>
          <w:b w:val="0"/>
          <w:bCs w:val="0"/>
          <w:color w:val="auto"/>
          <w:sz w:val="28"/>
          <w:szCs w:val="28"/>
          <w:lang w:eastAsia="zh-CN"/>
        </w:rPr>
      </w:pPr>
      <w:r>
        <w:rPr>
          <w:rFonts w:hint="eastAsia" w:ascii="Times New Roman" w:hAnsi="Times New Roman" w:cs="Times New Roman"/>
          <w:b w:val="0"/>
          <w:bCs w:val="0"/>
          <w:color w:val="auto"/>
          <w:sz w:val="28"/>
          <w:szCs w:val="28"/>
          <w:lang w:eastAsia="zh-CN"/>
        </w:rPr>
        <w:t>因此，</w:t>
      </w:r>
      <w:r>
        <w:rPr>
          <w:rFonts w:hint="default" w:ascii="Times New Roman" w:hAnsi="Times New Roman" w:eastAsia="宋体" w:cs="Times New Roman"/>
          <w:b w:val="0"/>
          <w:bCs w:val="0"/>
          <w:color w:val="auto"/>
          <w:sz w:val="28"/>
          <w:szCs w:val="28"/>
          <w:lang w:eastAsia="zh-CN"/>
        </w:rPr>
        <w:t>根据《关于印发环评管理中部分行业建设项目重大变动清单的通知》环办[2015]52号，以上变动不属于重大变更。</w:t>
      </w:r>
    </w:p>
    <w:p>
      <w:pPr>
        <w:pStyle w:val="5"/>
        <w:spacing w:line="358" w:lineRule="exact"/>
        <w:ind w:left="837"/>
      </w:pPr>
      <w:r>
        <w:t>三、环境保护设施落实情况</w:t>
      </w:r>
    </w:p>
    <w:p>
      <w:pPr>
        <w:spacing w:after="0"/>
        <w:sectPr>
          <w:pgSz w:w="11910" w:h="16840"/>
          <w:pgMar w:top="850" w:right="850" w:bottom="850" w:left="850" w:header="720" w:footer="720" w:gutter="0"/>
          <w:cols w:equalWidth="0" w:num="1">
            <w:col w:w="10110"/>
          </w:cols>
          <w:rtlGutter w:val="0"/>
          <w:docGrid w:linePitch="0" w:charSpace="0"/>
        </w:sectPr>
      </w:pPr>
    </w:p>
    <w:p>
      <w:pPr>
        <w:pStyle w:val="5"/>
        <w:numPr>
          <w:ilvl w:val="0"/>
          <w:numId w:val="1"/>
        </w:numPr>
        <w:spacing w:before="35" w:line="417" w:lineRule="auto"/>
        <w:ind w:left="275" w:right="381" w:firstLine="561"/>
      </w:pPr>
      <w:r>
        <w:t>废水</w:t>
      </w:r>
    </w:p>
    <w:p>
      <w:pPr>
        <w:pStyle w:val="5"/>
        <w:numPr>
          <w:ilvl w:val="0"/>
          <w:numId w:val="0"/>
        </w:numPr>
        <w:spacing w:before="35" w:line="417" w:lineRule="auto"/>
        <w:ind w:right="381" w:rightChars="0" w:firstLine="524" w:firstLineChars="200"/>
      </w:pPr>
      <w:r>
        <w:rPr>
          <w:spacing w:val="-9"/>
        </w:rPr>
        <w:t>项目无生产废水产生，项目废水主要为生活污水，生活废水经旱厕收集后</w:t>
      </w:r>
      <w:r>
        <w:rPr>
          <w:spacing w:val="-3"/>
        </w:rPr>
        <w:t>定期外运堆肥。</w:t>
      </w:r>
    </w:p>
    <w:p>
      <w:pPr>
        <w:pStyle w:val="5"/>
        <w:spacing w:line="358" w:lineRule="exact"/>
        <w:ind w:left="696"/>
      </w:pPr>
      <w:r>
        <w:t>（二）废气</w:t>
      </w:r>
    </w:p>
    <w:p>
      <w:pPr>
        <w:pStyle w:val="5"/>
        <w:spacing w:before="9"/>
        <w:rPr>
          <w:sz w:val="20"/>
        </w:rPr>
      </w:pPr>
    </w:p>
    <w:p>
      <w:pPr>
        <w:pStyle w:val="5"/>
        <w:spacing w:before="1" w:line="417" w:lineRule="auto"/>
        <w:ind w:left="275" w:right="308" w:firstLine="561"/>
        <w:jc w:val="both"/>
        <w:rPr>
          <w:rFonts w:hint="eastAsia" w:ascii="宋体" w:hAnsi="宋体" w:eastAsia="宋体" w:cs="宋体"/>
          <w:lang w:eastAsia="zh-CN"/>
        </w:rPr>
      </w:pPr>
      <w:r>
        <w:rPr>
          <w:rFonts w:hint="eastAsia" w:ascii="宋体" w:hAnsi="宋体" w:eastAsia="宋体" w:cs="宋体"/>
          <w:lang w:eastAsia="zh-CN"/>
        </w:rPr>
        <w:t>本项目产生的废气主要为涂胶工序产生的有机废气及打孔（冲孔）、切割、焊接工序产生的颗粒物。有机废气经集气罩收集后经</w:t>
      </w:r>
      <w:r>
        <w:rPr>
          <w:rFonts w:hint="eastAsia" w:ascii="宋体" w:hAnsi="宋体" w:eastAsia="宋体" w:cs="宋体"/>
          <w:lang w:val="en-US" w:eastAsia="zh-CN"/>
        </w:rPr>
        <w:t>UV光氧设备处理，处理后经15m排气筒排放；</w:t>
      </w:r>
      <w:r>
        <w:rPr>
          <w:rFonts w:hint="eastAsia" w:ascii="宋体" w:hAnsi="宋体" w:eastAsia="宋体" w:cs="宋体"/>
          <w:lang w:eastAsia="zh-CN"/>
        </w:rPr>
        <w:t>切割及焊接烟尘经焊烟净化器处理后无组织排放；打孔（冲孔）产生的金属颗粒物较大，大部分沉降下来，少数颗粒物无组织排放。</w:t>
      </w:r>
    </w:p>
    <w:p>
      <w:pPr>
        <w:pStyle w:val="5"/>
        <w:spacing w:line="358" w:lineRule="exact"/>
        <w:ind w:left="696"/>
      </w:pPr>
      <w:r>
        <w:t>（三）噪声</w:t>
      </w:r>
    </w:p>
    <w:p>
      <w:pPr>
        <w:pStyle w:val="5"/>
        <w:spacing w:before="9"/>
        <w:rPr>
          <w:sz w:val="20"/>
        </w:rPr>
      </w:pPr>
    </w:p>
    <w:p>
      <w:pPr>
        <w:pStyle w:val="5"/>
        <w:spacing w:before="1" w:line="417" w:lineRule="auto"/>
        <w:ind w:left="275" w:right="308" w:firstLine="561"/>
        <w:jc w:val="both"/>
      </w:pPr>
      <w:r>
        <w:t>项目噪声源主要为折弯机、</w:t>
      </w:r>
      <w:r>
        <w:rPr>
          <w:rFonts w:hint="eastAsia"/>
          <w:lang w:eastAsia="zh-CN"/>
        </w:rPr>
        <w:t>压</w:t>
      </w:r>
      <w:r>
        <w:t>板机等设备运行时产生的噪声，所有生产设备均设置于生产车间内，经过基础减振，再经过厂房隔声、距离衰减等措施， 降低对周围环境的影响。</w:t>
      </w:r>
    </w:p>
    <w:p>
      <w:pPr>
        <w:pStyle w:val="5"/>
        <w:spacing w:line="358" w:lineRule="exact"/>
        <w:ind w:left="696"/>
      </w:pPr>
      <w:r>
        <w:t>（四）固体废物</w:t>
      </w:r>
    </w:p>
    <w:p>
      <w:pPr>
        <w:pStyle w:val="5"/>
        <w:spacing w:before="8"/>
        <w:rPr>
          <w:sz w:val="20"/>
        </w:rPr>
      </w:pPr>
    </w:p>
    <w:p>
      <w:pPr>
        <w:keepNext w:val="0"/>
        <w:keepLines w:val="0"/>
        <w:pageBreakBefore w:val="0"/>
        <w:widowControl w:val="0"/>
        <w:kinsoku/>
        <w:wordWrap/>
        <w:overflowPunct/>
        <w:topLinePunct w:val="0"/>
        <w:autoSpaceDE/>
        <w:autoSpaceDN/>
        <w:bidi w:val="0"/>
        <w:adjustRightInd/>
        <w:snapToGrid/>
        <w:spacing w:line="408" w:lineRule="auto"/>
        <w:ind w:firstLine="482"/>
        <w:textAlignment w:val="auto"/>
        <w:rPr>
          <w:rFonts w:ascii="宋体" w:hAnsi="宋体" w:eastAsia="宋体" w:cs="宋体"/>
          <w:sz w:val="28"/>
          <w:szCs w:val="28"/>
          <w:lang w:val="zh-CN" w:eastAsia="zh-CN" w:bidi="zh-CN"/>
        </w:rPr>
      </w:pPr>
      <w:r>
        <w:rPr>
          <w:rFonts w:hint="eastAsia" w:ascii="宋体" w:hAnsi="宋体" w:eastAsia="宋体" w:cs="宋体"/>
          <w:sz w:val="28"/>
          <w:szCs w:val="28"/>
          <w:lang w:val="zh-CN" w:eastAsia="zh-CN" w:bidi="zh-CN"/>
        </w:rPr>
        <w:t>项目</w:t>
      </w:r>
      <w:r>
        <w:rPr>
          <w:rFonts w:hint="default" w:ascii="宋体" w:hAnsi="宋体" w:eastAsia="宋体" w:cs="宋体"/>
          <w:sz w:val="28"/>
          <w:szCs w:val="28"/>
          <w:lang w:val="zh-CN" w:eastAsia="zh-CN" w:bidi="zh-CN"/>
        </w:rPr>
        <w:t>固废主要为</w:t>
      </w:r>
      <w:r>
        <w:rPr>
          <w:rFonts w:hint="eastAsia" w:ascii="宋体" w:hAnsi="宋体" w:eastAsia="宋体" w:cs="宋体"/>
          <w:sz w:val="28"/>
          <w:szCs w:val="28"/>
          <w:lang w:val="zh-CN" w:eastAsia="zh-CN" w:bidi="zh-CN"/>
        </w:rPr>
        <w:t>废下脚料、次品、焊烟净化器收尘、废灯管、废胶桶、废润滑油和生活垃圾</w:t>
      </w:r>
      <w:r>
        <w:rPr>
          <w:rFonts w:hint="default" w:ascii="宋体" w:hAnsi="宋体" w:eastAsia="宋体" w:cs="宋体"/>
          <w:sz w:val="28"/>
          <w:szCs w:val="28"/>
          <w:lang w:val="zh-CN" w:eastAsia="zh-CN" w:bidi="zh-CN"/>
        </w:rPr>
        <w:t>。</w:t>
      </w:r>
      <w:r>
        <w:rPr>
          <w:rFonts w:hint="eastAsia" w:ascii="宋体" w:hAnsi="宋体" w:eastAsia="宋体" w:cs="宋体"/>
          <w:sz w:val="28"/>
          <w:szCs w:val="28"/>
          <w:lang w:val="zh-CN" w:eastAsia="zh-CN" w:bidi="zh-CN"/>
        </w:rPr>
        <w:t>下脚料和次品收集后外售综合利用，焊烟净化器收集烟尘和生活垃圾收集后由环卫部门统一清运，废胶桶由厂家回收，废灯管、废润滑油暂时还未产生，产生时暂存于危废间，委托有资质的单位处理。</w:t>
      </w:r>
    </w:p>
    <w:p>
      <w:pPr>
        <w:pStyle w:val="5"/>
        <w:spacing w:line="358" w:lineRule="exact"/>
        <w:ind w:left="837"/>
      </w:pPr>
      <w:r>
        <w:t>四、验收监测结果</w:t>
      </w:r>
    </w:p>
    <w:p>
      <w:pPr>
        <w:pStyle w:val="5"/>
        <w:spacing w:before="9"/>
        <w:rPr>
          <w:sz w:val="20"/>
        </w:rPr>
      </w:pPr>
    </w:p>
    <w:p>
      <w:pPr>
        <w:pStyle w:val="5"/>
        <w:ind w:left="696"/>
      </w:pPr>
      <w:r>
        <w:t>（一）环保设施运行检测结果</w:t>
      </w:r>
    </w:p>
    <w:p>
      <w:pPr>
        <w:pStyle w:val="5"/>
        <w:spacing w:before="9"/>
        <w:rPr>
          <w:sz w:val="20"/>
        </w:rPr>
      </w:pPr>
    </w:p>
    <w:p>
      <w:pPr>
        <w:pStyle w:val="5"/>
        <w:spacing w:line="417" w:lineRule="auto"/>
        <w:ind w:left="275" w:right="381" w:firstLine="561"/>
        <w:jc w:val="both"/>
      </w:pPr>
      <w:r>
        <mc:AlternateContent>
          <mc:Choice Requires="wps">
            <w:drawing>
              <wp:anchor distT="0" distB="0" distL="114300" distR="114300" simplePos="0" relativeHeight="251658240" behindDoc="0" locked="0" layoutInCell="1" allowOverlap="1">
                <wp:simplePos x="0" y="0"/>
                <wp:positionH relativeFrom="page">
                  <wp:posOffset>596900</wp:posOffset>
                </wp:positionH>
                <wp:positionV relativeFrom="paragraph">
                  <wp:posOffset>1499870</wp:posOffset>
                </wp:positionV>
                <wp:extent cx="6228080" cy="1186815"/>
                <wp:effectExtent l="0" t="0" r="0" b="0"/>
                <wp:wrapNone/>
                <wp:docPr id="1" name="文本框 2"/>
                <wp:cNvGraphicFramePr/>
                <a:graphic xmlns:a="http://schemas.openxmlformats.org/drawingml/2006/main">
                  <a:graphicData uri="http://schemas.microsoft.com/office/word/2010/wordprocessingShape">
                    <wps:wsp>
                      <wps:cNvSpPr txBox="1"/>
                      <wps:spPr>
                        <a:xfrm>
                          <a:off x="0" y="0"/>
                          <a:ext cx="6228080" cy="1186815"/>
                        </a:xfrm>
                        <a:prstGeom prst="rect">
                          <a:avLst/>
                        </a:prstGeom>
                        <a:noFill/>
                        <a:ln>
                          <a:noFill/>
                        </a:ln>
                      </wps:spPr>
                      <wps:txbx>
                        <w:txbxContent>
                          <w:p>
                            <w:pPr>
                              <w:pStyle w:val="5"/>
                            </w:pPr>
                          </w:p>
                        </w:txbxContent>
                      </wps:txbx>
                      <wps:bodyPr lIns="0" tIns="0" rIns="0" bIns="0" upright="1"/>
                    </wps:wsp>
                  </a:graphicData>
                </a:graphic>
              </wp:anchor>
            </w:drawing>
          </mc:Choice>
          <mc:Fallback>
            <w:pict>
              <v:shape id="文本框 2" o:spid="_x0000_s1026" o:spt="202" type="#_x0000_t202" style="position:absolute;left:0pt;margin-left:47pt;margin-top:118.1pt;height:93.45pt;width:490.4pt;mso-position-horizontal-relative:page;z-index:251658240;mso-width-relative:page;mso-height-relative:page;" filled="f" stroked="f" coordsize="21600,21600" o:gfxdata="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o6PP82gAAAAsBAAAPAAAAAAAA&#10;AAEAIAAAACIAAABkcnMvZG93bnJldi54bWxQSwECFAAUAAAACACHTuJAJPSIrJ4BAAAlAwAADgAA&#10;AAAAAAABACAAAAApAQAAZHJzL2Uyb0RvYy54bWxQSwUGAAAAAAYABgBZAQAAOQUAAAAA&#10;">
                <v:fill on="f" focussize="0,0"/>
                <v:stroke on="f"/>
                <v:imagedata o:title=""/>
                <o:lock v:ext="edit" aspectratio="f"/>
                <v:textbox inset="0mm,0mm,0mm,0mm">
                  <w:txbxContent>
                    <w:p>
                      <w:pPr>
                        <w:pStyle w:val="5"/>
                      </w:pPr>
                    </w:p>
                  </w:txbxContent>
                </v:textbox>
              </v:shape>
            </w:pict>
          </mc:Fallback>
        </mc:AlternateContent>
      </w:r>
      <w:r>
        <w:rPr>
          <w:spacing w:val="-10"/>
        </w:rPr>
        <w:t>验收监测期间，山东波菲特环保科技有限公司山东波菲特环保科技有限公</w:t>
      </w:r>
      <w:r>
        <w:rPr>
          <w:spacing w:val="-7"/>
        </w:rPr>
        <w:t>司风机风扇制造两天的生产负荷见下表，符合验收监测应在工况稳定、生产负</w:t>
      </w:r>
      <w:r>
        <w:rPr>
          <w:spacing w:val="-9"/>
        </w:rPr>
        <w:t>荷达设计能力符合的</w:t>
      </w:r>
      <w:r>
        <w:rPr>
          <w:rFonts w:ascii="Times New Roman" w:eastAsia="Times New Roman"/>
        </w:rPr>
        <w:t>75%</w:t>
      </w:r>
      <w:r>
        <w:rPr>
          <w:spacing w:val="-11"/>
        </w:rPr>
        <w:t>以上的要求。因此，本次监测为有效工况，监测结果</w:t>
      </w:r>
      <w:r>
        <w:rPr>
          <w:spacing w:val="-5"/>
        </w:rPr>
        <w:t>能作为该项目竣工环境保护验收依据。</w:t>
      </w:r>
    </w:p>
    <w:p>
      <w:pPr>
        <w:spacing w:after="0" w:line="417" w:lineRule="auto"/>
        <w:jc w:val="both"/>
      </w:pPr>
    </w:p>
    <w:p>
      <w:pPr>
        <w:pStyle w:val="5"/>
        <w:spacing w:before="8"/>
        <w:rPr>
          <w:sz w:val="5"/>
        </w:rPr>
      </w:pPr>
    </w:p>
    <w:p>
      <w:pPr>
        <w:pStyle w:val="5"/>
        <w:spacing w:before="61"/>
        <w:ind w:left="837"/>
      </w:pP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108" w:type="dxa"/>
          <w:bottom w:w="0" w:type="dxa"/>
          <w:right w:w="108" w:type="dxa"/>
        </w:tblCellMar>
      </w:tblPr>
      <w:tblGrid>
        <w:gridCol w:w="1236"/>
        <w:gridCol w:w="2122"/>
        <w:gridCol w:w="2505"/>
        <w:gridCol w:w="2078"/>
        <w:gridCol w:w="1608"/>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236" w:type="dxa"/>
            <w:tcBorders>
              <w:tl2br w:val="nil"/>
              <w:tr2bl w:val="nil"/>
            </w:tcBorders>
            <w:noWrap w:val="0"/>
            <w:vAlign w:val="center"/>
          </w:tcPr>
          <w:p>
            <w:pPr>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时间</w:t>
            </w:r>
          </w:p>
        </w:tc>
        <w:tc>
          <w:tcPr>
            <w:tcW w:w="2122" w:type="dxa"/>
            <w:tcBorders>
              <w:tl2br w:val="nil"/>
              <w:tr2bl w:val="nil"/>
            </w:tcBorders>
            <w:noWrap w:val="0"/>
            <w:vAlign w:val="center"/>
          </w:tcPr>
          <w:p>
            <w:pPr>
              <w:spacing w:line="240" w:lineRule="auto"/>
              <w:jc w:val="center"/>
              <w:rPr>
                <w:rFonts w:hint="default" w:ascii="Times New Roman" w:hAnsi="Times New Roman" w:eastAsia="宋体" w:cs="Times New Roman"/>
                <w:b/>
                <w:bCs/>
                <w:color w:val="000000"/>
                <w:sz w:val="21"/>
                <w:szCs w:val="21"/>
                <w:lang w:eastAsia="zh-CN"/>
              </w:rPr>
            </w:pPr>
            <w:r>
              <w:rPr>
                <w:rFonts w:hint="default" w:ascii="Times New Roman" w:hAnsi="Times New Roman" w:eastAsia="宋体" w:cs="Times New Roman"/>
                <w:b/>
                <w:bCs/>
                <w:color w:val="000000"/>
                <w:sz w:val="21"/>
                <w:szCs w:val="21"/>
                <w:lang w:eastAsia="zh-CN"/>
              </w:rPr>
              <w:t>类别</w:t>
            </w:r>
          </w:p>
        </w:tc>
        <w:tc>
          <w:tcPr>
            <w:tcW w:w="2505" w:type="dxa"/>
            <w:tcBorders>
              <w:tl2br w:val="nil"/>
              <w:tr2bl w:val="nil"/>
            </w:tcBorders>
            <w:noWrap w:val="0"/>
            <w:vAlign w:val="center"/>
          </w:tcPr>
          <w:p>
            <w:pPr>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实际生产能力</w:t>
            </w:r>
          </w:p>
        </w:tc>
        <w:tc>
          <w:tcPr>
            <w:tcW w:w="2078" w:type="dxa"/>
            <w:tcBorders>
              <w:tl2br w:val="nil"/>
              <w:tr2bl w:val="nil"/>
            </w:tcBorders>
            <w:noWrap w:val="0"/>
            <w:vAlign w:val="center"/>
          </w:tcPr>
          <w:p>
            <w:pPr>
              <w:spacing w:line="240" w:lineRule="auto"/>
              <w:jc w:val="center"/>
              <w:rPr>
                <w:rFonts w:hint="default" w:ascii="Times New Roman" w:hAnsi="Times New Roman" w:eastAsia="宋体" w:cs="Times New Roman"/>
                <w:b/>
                <w:bCs/>
                <w:color w:val="000000"/>
                <w:sz w:val="21"/>
                <w:szCs w:val="21"/>
                <w:lang w:eastAsia="zh-CN"/>
              </w:rPr>
            </w:pPr>
            <w:r>
              <w:rPr>
                <w:rFonts w:hint="default" w:ascii="Times New Roman" w:hAnsi="Times New Roman" w:eastAsia="宋体" w:cs="Times New Roman"/>
                <w:b/>
                <w:bCs/>
                <w:color w:val="000000"/>
                <w:sz w:val="21"/>
                <w:szCs w:val="21"/>
              </w:rPr>
              <w:t>设计生产能力</w:t>
            </w:r>
          </w:p>
        </w:tc>
        <w:tc>
          <w:tcPr>
            <w:tcW w:w="1608" w:type="dxa"/>
            <w:tcBorders>
              <w:tl2br w:val="nil"/>
              <w:tr2bl w:val="nil"/>
            </w:tcBorders>
            <w:noWrap w:val="0"/>
            <w:vAlign w:val="center"/>
          </w:tcPr>
          <w:p>
            <w:pPr>
              <w:spacing w:line="240" w:lineRule="auto"/>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
                <w:bCs/>
                <w:color w:val="000000"/>
                <w:sz w:val="21"/>
                <w:szCs w:val="21"/>
                <w:lang w:eastAsia="zh-CN"/>
              </w:rPr>
              <w:t>生产</w:t>
            </w:r>
            <w:r>
              <w:rPr>
                <w:rFonts w:hint="default" w:ascii="Times New Roman" w:hAnsi="Times New Roman" w:eastAsia="宋体" w:cs="Times New Roman"/>
                <w:b/>
                <w:bCs/>
                <w:color w:val="000000"/>
                <w:sz w:val="21"/>
                <w:szCs w:val="21"/>
              </w:rPr>
              <w:t>负荷</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eastAsia="zh-CN"/>
              </w:rPr>
              <w:t>）</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1236" w:type="dxa"/>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2019.11.4</w:t>
            </w:r>
          </w:p>
        </w:tc>
        <w:tc>
          <w:tcPr>
            <w:tcW w:w="2122"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无动力风机</w:t>
            </w:r>
          </w:p>
        </w:tc>
        <w:tc>
          <w:tcPr>
            <w:tcW w:w="2505"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10</w:t>
            </w:r>
            <w:r>
              <w:rPr>
                <w:rFonts w:hint="eastAsia" w:ascii="Times New Roman" w:hAnsi="Times New Roman" w:eastAsia="宋体" w:cs="Times New Roman"/>
                <w:color w:val="000000"/>
                <w:sz w:val="21"/>
                <w:szCs w:val="21"/>
                <w:lang w:val="en-US" w:eastAsia="zh-CN"/>
              </w:rPr>
              <w:t>台/天</w:t>
            </w:r>
          </w:p>
        </w:tc>
        <w:tc>
          <w:tcPr>
            <w:tcW w:w="207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9</w:t>
            </w:r>
            <w:r>
              <w:rPr>
                <w:rFonts w:hint="eastAsia" w:ascii="Times New Roman" w:hAnsi="Times New Roman" w:eastAsia="宋体" w:cs="Times New Roman"/>
                <w:color w:val="000000"/>
                <w:sz w:val="21"/>
                <w:szCs w:val="21"/>
                <w:lang w:val="en-US" w:eastAsia="zh-CN"/>
              </w:rPr>
              <w:t>台/天</w:t>
            </w:r>
          </w:p>
        </w:tc>
        <w:tc>
          <w:tcPr>
            <w:tcW w:w="160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90</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1236" w:type="dxa"/>
            <w:vMerge w:val="continue"/>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rPr>
            </w:pPr>
          </w:p>
        </w:tc>
        <w:tc>
          <w:tcPr>
            <w:tcW w:w="2122"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轴流风机</w:t>
            </w:r>
          </w:p>
        </w:tc>
        <w:tc>
          <w:tcPr>
            <w:tcW w:w="2505"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1.67</w:t>
            </w:r>
            <w:r>
              <w:rPr>
                <w:rFonts w:hint="eastAsia" w:ascii="Times New Roman" w:hAnsi="Times New Roman" w:eastAsia="宋体" w:cs="Times New Roman"/>
                <w:color w:val="000000"/>
                <w:sz w:val="21"/>
                <w:szCs w:val="21"/>
                <w:lang w:val="en-US" w:eastAsia="zh-CN"/>
              </w:rPr>
              <w:t>台/天</w:t>
            </w:r>
          </w:p>
        </w:tc>
        <w:tc>
          <w:tcPr>
            <w:tcW w:w="207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1.5</w:t>
            </w:r>
            <w:r>
              <w:rPr>
                <w:rFonts w:hint="eastAsia" w:ascii="Times New Roman" w:hAnsi="Times New Roman" w:eastAsia="宋体" w:cs="Times New Roman"/>
                <w:color w:val="000000"/>
                <w:sz w:val="21"/>
                <w:szCs w:val="21"/>
                <w:lang w:val="en-US" w:eastAsia="zh-CN"/>
              </w:rPr>
              <w:t>台/天</w:t>
            </w:r>
          </w:p>
        </w:tc>
        <w:tc>
          <w:tcPr>
            <w:tcW w:w="160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89.8</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1236" w:type="dxa"/>
            <w:vMerge w:val="continue"/>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rPr>
            </w:pPr>
          </w:p>
        </w:tc>
        <w:tc>
          <w:tcPr>
            <w:tcW w:w="2122"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通风气楼</w:t>
            </w:r>
          </w:p>
        </w:tc>
        <w:tc>
          <w:tcPr>
            <w:tcW w:w="2505"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33.33米</w:t>
            </w:r>
            <w:r>
              <w:rPr>
                <w:rFonts w:hint="eastAsia" w:ascii="Times New Roman" w:hAnsi="Times New Roman" w:eastAsia="宋体" w:cs="Times New Roman"/>
                <w:color w:val="000000"/>
                <w:sz w:val="21"/>
                <w:szCs w:val="21"/>
                <w:lang w:val="en-US" w:eastAsia="zh-CN"/>
              </w:rPr>
              <w:t>/天</w:t>
            </w:r>
          </w:p>
        </w:tc>
        <w:tc>
          <w:tcPr>
            <w:tcW w:w="207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32米</w:t>
            </w:r>
            <w:r>
              <w:rPr>
                <w:rFonts w:hint="eastAsia" w:ascii="Times New Roman" w:hAnsi="Times New Roman" w:eastAsia="宋体" w:cs="Times New Roman"/>
                <w:color w:val="000000"/>
                <w:sz w:val="21"/>
                <w:szCs w:val="21"/>
                <w:lang w:val="en-US" w:eastAsia="zh-CN"/>
              </w:rPr>
              <w:t>/天</w:t>
            </w:r>
          </w:p>
        </w:tc>
        <w:tc>
          <w:tcPr>
            <w:tcW w:w="160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96</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1236" w:type="dxa"/>
            <w:vMerge w:val="restart"/>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2019.11.5</w:t>
            </w:r>
          </w:p>
        </w:tc>
        <w:tc>
          <w:tcPr>
            <w:tcW w:w="2122"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color w:val="000000"/>
                <w:sz w:val="21"/>
                <w:szCs w:val="21"/>
                <w:lang w:val="en-US" w:eastAsia="zh-CN"/>
              </w:rPr>
              <w:t>无动力风机</w:t>
            </w:r>
          </w:p>
        </w:tc>
        <w:tc>
          <w:tcPr>
            <w:tcW w:w="2505"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000000"/>
                <w:sz w:val="21"/>
                <w:szCs w:val="21"/>
                <w:lang w:val="en-US" w:eastAsia="zh-CN"/>
              </w:rPr>
              <w:t>10</w:t>
            </w:r>
            <w:r>
              <w:rPr>
                <w:rFonts w:hint="eastAsia" w:ascii="Times New Roman" w:hAnsi="Times New Roman" w:eastAsia="宋体" w:cs="Times New Roman"/>
                <w:color w:val="000000"/>
                <w:sz w:val="21"/>
                <w:szCs w:val="21"/>
                <w:lang w:val="en-US" w:eastAsia="zh-CN"/>
              </w:rPr>
              <w:t>台/天</w:t>
            </w:r>
          </w:p>
        </w:tc>
        <w:tc>
          <w:tcPr>
            <w:tcW w:w="207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9</w:t>
            </w:r>
            <w:r>
              <w:rPr>
                <w:rFonts w:hint="eastAsia" w:ascii="Times New Roman" w:hAnsi="Times New Roman" w:eastAsia="宋体" w:cs="Times New Roman"/>
                <w:color w:val="000000"/>
                <w:sz w:val="21"/>
                <w:szCs w:val="21"/>
                <w:lang w:val="en-US" w:eastAsia="zh-CN"/>
              </w:rPr>
              <w:t>台/天</w:t>
            </w:r>
          </w:p>
        </w:tc>
        <w:tc>
          <w:tcPr>
            <w:tcW w:w="160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90</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1236" w:type="dxa"/>
            <w:vMerge w:val="continue"/>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rPr>
            </w:pPr>
          </w:p>
        </w:tc>
        <w:tc>
          <w:tcPr>
            <w:tcW w:w="2122"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轴流风机</w:t>
            </w:r>
          </w:p>
        </w:tc>
        <w:tc>
          <w:tcPr>
            <w:tcW w:w="2505"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1.67</w:t>
            </w:r>
            <w:r>
              <w:rPr>
                <w:rFonts w:hint="eastAsia" w:ascii="Times New Roman" w:hAnsi="Times New Roman" w:eastAsia="宋体" w:cs="Times New Roman"/>
                <w:color w:val="000000"/>
                <w:sz w:val="21"/>
                <w:szCs w:val="21"/>
                <w:lang w:val="en-US" w:eastAsia="zh-CN"/>
              </w:rPr>
              <w:t>台/天</w:t>
            </w:r>
          </w:p>
        </w:tc>
        <w:tc>
          <w:tcPr>
            <w:tcW w:w="207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1.5</w:t>
            </w:r>
            <w:r>
              <w:rPr>
                <w:rFonts w:hint="eastAsia" w:ascii="Times New Roman" w:hAnsi="Times New Roman" w:eastAsia="宋体" w:cs="Times New Roman"/>
                <w:color w:val="000000"/>
                <w:sz w:val="21"/>
                <w:szCs w:val="21"/>
                <w:lang w:val="en-US" w:eastAsia="zh-CN"/>
              </w:rPr>
              <w:t>台/天</w:t>
            </w:r>
          </w:p>
        </w:tc>
        <w:tc>
          <w:tcPr>
            <w:tcW w:w="160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89.8</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1236" w:type="dxa"/>
            <w:vMerge w:val="continue"/>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rPr>
            </w:pPr>
          </w:p>
        </w:tc>
        <w:tc>
          <w:tcPr>
            <w:tcW w:w="2122"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通风气楼</w:t>
            </w:r>
          </w:p>
        </w:tc>
        <w:tc>
          <w:tcPr>
            <w:tcW w:w="2505"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33.33米</w:t>
            </w:r>
            <w:r>
              <w:rPr>
                <w:rFonts w:hint="eastAsia" w:ascii="Times New Roman" w:hAnsi="Times New Roman" w:eastAsia="宋体" w:cs="Times New Roman"/>
                <w:color w:val="000000"/>
                <w:sz w:val="21"/>
                <w:szCs w:val="21"/>
                <w:lang w:val="en-US" w:eastAsia="zh-CN"/>
              </w:rPr>
              <w:t>/天</w:t>
            </w:r>
          </w:p>
        </w:tc>
        <w:tc>
          <w:tcPr>
            <w:tcW w:w="207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30米</w:t>
            </w:r>
            <w:r>
              <w:rPr>
                <w:rFonts w:hint="eastAsia" w:ascii="Times New Roman" w:hAnsi="Times New Roman" w:eastAsia="宋体" w:cs="Times New Roman"/>
                <w:color w:val="000000"/>
                <w:sz w:val="21"/>
                <w:szCs w:val="21"/>
                <w:lang w:val="en-US" w:eastAsia="zh-CN"/>
              </w:rPr>
              <w:t>/天</w:t>
            </w:r>
          </w:p>
        </w:tc>
        <w:tc>
          <w:tcPr>
            <w:tcW w:w="160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90</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9549" w:type="dxa"/>
            <w:gridSpan w:val="5"/>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left"/>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bCs/>
                <w:sz w:val="21"/>
                <w:szCs w:val="21"/>
                <w:lang w:val="en-US" w:eastAsia="zh-CN"/>
              </w:rPr>
              <w:t>注：</w:t>
            </w:r>
            <w:r>
              <w:rPr>
                <w:rFonts w:hint="eastAsia" w:ascii="Times New Roman" w:hAnsi="Times New Roman" w:eastAsia="宋体" w:cs="Times New Roman"/>
                <w:color w:val="000000"/>
                <w:sz w:val="21"/>
                <w:szCs w:val="21"/>
                <w:lang w:val="en-US" w:eastAsia="zh-CN"/>
              </w:rPr>
              <w:t>无动力风机</w:t>
            </w:r>
            <w:r>
              <w:rPr>
                <w:rFonts w:hint="default" w:ascii="Times New Roman" w:hAnsi="Times New Roman" w:eastAsia="宋体" w:cs="Times New Roman"/>
                <w:b w:val="0"/>
                <w:bCs w:val="0"/>
                <w:color w:val="auto"/>
                <w:sz w:val="21"/>
                <w:szCs w:val="21"/>
                <w:lang w:val="en-US" w:eastAsia="zh-CN"/>
              </w:rPr>
              <w:t>：设计生产能力=</w:t>
            </w:r>
            <w:r>
              <w:rPr>
                <w:rFonts w:hint="eastAsia" w:ascii="Times New Roman" w:hAnsi="Times New Roman" w:eastAsia="宋体" w:cs="Times New Roman"/>
                <w:b w:val="0"/>
                <w:bCs w:val="0"/>
                <w:color w:val="auto"/>
                <w:sz w:val="21"/>
                <w:szCs w:val="21"/>
                <w:lang w:val="en-US" w:eastAsia="zh-CN"/>
              </w:rPr>
              <w:t>30</w:t>
            </w:r>
            <w:r>
              <w:rPr>
                <w:rFonts w:hint="default" w:ascii="Times New Roman" w:hAnsi="Times New Roman" w:eastAsia="宋体" w:cs="Times New Roman"/>
                <w:b w:val="0"/>
                <w:bCs w:val="0"/>
                <w:color w:val="auto"/>
                <w:sz w:val="21"/>
                <w:szCs w:val="21"/>
                <w:lang w:val="en-US" w:eastAsia="zh-CN"/>
              </w:rPr>
              <w:t>00</w:t>
            </w:r>
            <w:r>
              <w:rPr>
                <w:rFonts w:hint="eastAsia" w:ascii="Times New Roman" w:hAnsi="Times New Roman" w:eastAsia="宋体" w:cs="Times New Roman"/>
                <w:b w:val="0"/>
                <w:bCs w:val="0"/>
                <w:color w:val="auto"/>
                <w:sz w:val="21"/>
                <w:szCs w:val="21"/>
                <w:lang w:val="en-US" w:eastAsia="zh-CN"/>
              </w:rPr>
              <w:t>台</w:t>
            </w:r>
            <w:r>
              <w:rPr>
                <w:rFonts w:hint="default" w:ascii="Times New Roman" w:hAnsi="Times New Roman" w:eastAsia="宋体" w:cs="Times New Roman"/>
                <w:b w:val="0"/>
                <w:bCs w:val="0"/>
                <w:color w:val="auto"/>
                <w:sz w:val="21"/>
                <w:szCs w:val="21"/>
                <w:lang w:val="en-US" w:eastAsia="zh-CN"/>
              </w:rPr>
              <w:t>/300天=</w:t>
            </w:r>
            <w:r>
              <w:rPr>
                <w:rFonts w:hint="eastAsia" w:ascii="Times New Roman" w:hAnsi="Times New Roman" w:eastAsia="宋体" w:cs="Times New Roman"/>
                <w:b w:val="0"/>
                <w:bCs w:val="0"/>
                <w:color w:val="auto"/>
                <w:sz w:val="21"/>
                <w:szCs w:val="21"/>
                <w:lang w:val="en-US" w:eastAsia="zh-CN"/>
              </w:rPr>
              <w:t>10台</w:t>
            </w:r>
            <w:r>
              <w:rPr>
                <w:rFonts w:hint="default" w:ascii="Times New Roman" w:hAnsi="Times New Roman" w:eastAsia="宋体" w:cs="Times New Roman"/>
                <w:b w:val="0"/>
                <w:bCs w:val="0"/>
                <w:color w:val="auto"/>
                <w:sz w:val="21"/>
                <w:szCs w:val="21"/>
                <w:lang w:val="en-US" w:eastAsia="zh-CN"/>
              </w:rPr>
              <w:t>/天；</w:t>
            </w:r>
          </w:p>
          <w:p>
            <w:pPr>
              <w:pStyle w:val="4"/>
              <w:ind w:firstLine="420" w:firstLineChars="200"/>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color w:val="000000"/>
                <w:sz w:val="21"/>
                <w:szCs w:val="21"/>
                <w:lang w:val="en-US" w:eastAsia="zh-CN"/>
              </w:rPr>
              <w:t>轴流风机</w:t>
            </w:r>
            <w:r>
              <w:rPr>
                <w:rFonts w:hint="default" w:ascii="Times New Roman" w:hAnsi="Times New Roman" w:eastAsia="宋体" w:cs="Times New Roman"/>
                <w:b w:val="0"/>
                <w:bCs w:val="0"/>
                <w:color w:val="auto"/>
                <w:sz w:val="21"/>
                <w:szCs w:val="21"/>
                <w:lang w:val="en-US" w:eastAsia="zh-CN"/>
              </w:rPr>
              <w:t>：设计生产能力=</w:t>
            </w:r>
            <w:r>
              <w:rPr>
                <w:rFonts w:hint="eastAsia" w:ascii="Times New Roman" w:hAnsi="Times New Roman" w:eastAsia="宋体" w:cs="Times New Roman"/>
                <w:b w:val="0"/>
                <w:bCs w:val="0"/>
                <w:color w:val="auto"/>
                <w:sz w:val="21"/>
                <w:szCs w:val="21"/>
                <w:lang w:val="en-US" w:eastAsia="zh-CN"/>
              </w:rPr>
              <w:t>5</w:t>
            </w:r>
            <w:r>
              <w:rPr>
                <w:rFonts w:hint="default" w:ascii="Times New Roman" w:hAnsi="Times New Roman" w:eastAsia="宋体" w:cs="Times New Roman"/>
                <w:b w:val="0"/>
                <w:bCs w:val="0"/>
                <w:color w:val="auto"/>
                <w:sz w:val="21"/>
                <w:szCs w:val="21"/>
                <w:lang w:val="en-US" w:eastAsia="zh-CN"/>
              </w:rPr>
              <w:t>00</w:t>
            </w:r>
            <w:r>
              <w:rPr>
                <w:rFonts w:hint="eastAsia" w:ascii="Times New Roman" w:hAnsi="Times New Roman" w:eastAsia="宋体" w:cs="Times New Roman"/>
                <w:b w:val="0"/>
                <w:bCs w:val="0"/>
                <w:color w:val="auto"/>
                <w:sz w:val="21"/>
                <w:szCs w:val="21"/>
                <w:lang w:val="en-US" w:eastAsia="zh-CN"/>
              </w:rPr>
              <w:t>台</w:t>
            </w:r>
            <w:r>
              <w:rPr>
                <w:rFonts w:hint="default" w:ascii="Times New Roman" w:hAnsi="Times New Roman" w:eastAsia="宋体" w:cs="Times New Roman"/>
                <w:b w:val="0"/>
                <w:bCs w:val="0"/>
                <w:color w:val="auto"/>
                <w:sz w:val="21"/>
                <w:szCs w:val="21"/>
                <w:lang w:val="en-US" w:eastAsia="zh-CN"/>
              </w:rPr>
              <w:t>/300天</w:t>
            </w:r>
            <w:r>
              <w:rPr>
                <w:rFonts w:hint="eastAsia"/>
                <w:lang w:val="en-US" w:eastAsia="zh-CN"/>
              </w:rPr>
              <w:t>≈</w:t>
            </w:r>
            <w:r>
              <w:rPr>
                <w:rFonts w:hint="eastAsia" w:ascii="Times New Roman" w:hAnsi="Times New Roman" w:eastAsia="宋体" w:cs="Times New Roman"/>
                <w:b w:val="0"/>
                <w:bCs w:val="0"/>
                <w:color w:val="auto"/>
                <w:sz w:val="21"/>
                <w:szCs w:val="21"/>
                <w:lang w:val="en-US" w:eastAsia="zh-CN"/>
              </w:rPr>
              <w:t>1.67台</w:t>
            </w:r>
            <w:r>
              <w:rPr>
                <w:rFonts w:hint="default" w:ascii="Times New Roman" w:hAnsi="Times New Roman" w:eastAsia="宋体" w:cs="Times New Roman"/>
                <w:b w:val="0"/>
                <w:bCs w:val="0"/>
                <w:color w:val="auto"/>
                <w:sz w:val="21"/>
                <w:szCs w:val="21"/>
                <w:lang w:val="en-US" w:eastAsia="zh-CN"/>
              </w:rPr>
              <w:t>/天；</w:t>
            </w:r>
          </w:p>
          <w:p>
            <w:pPr>
              <w:pStyle w:val="4"/>
              <w:ind w:firstLine="420" w:firstLineChars="200"/>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color w:val="000000"/>
                <w:sz w:val="21"/>
                <w:szCs w:val="21"/>
                <w:lang w:val="en-US" w:eastAsia="zh-CN"/>
              </w:rPr>
              <w:t>通风气楼</w:t>
            </w:r>
            <w:r>
              <w:rPr>
                <w:rFonts w:hint="default" w:ascii="Times New Roman" w:hAnsi="Times New Roman" w:eastAsia="宋体" w:cs="Times New Roman"/>
                <w:b w:val="0"/>
                <w:bCs w:val="0"/>
                <w:color w:val="auto"/>
                <w:sz w:val="21"/>
                <w:szCs w:val="21"/>
                <w:lang w:val="en-US" w:eastAsia="zh-CN"/>
              </w:rPr>
              <w:t>：设计生产能力=</w:t>
            </w:r>
            <w:r>
              <w:rPr>
                <w:rFonts w:hint="eastAsia" w:ascii="Times New Roman" w:hAnsi="Times New Roman" w:eastAsia="宋体" w:cs="Times New Roman"/>
                <w:b w:val="0"/>
                <w:bCs w:val="0"/>
                <w:color w:val="auto"/>
                <w:sz w:val="21"/>
                <w:szCs w:val="21"/>
                <w:lang w:val="en-US" w:eastAsia="zh-CN"/>
              </w:rPr>
              <w:t>10000米</w:t>
            </w:r>
            <w:r>
              <w:rPr>
                <w:rFonts w:hint="default" w:ascii="Times New Roman" w:hAnsi="Times New Roman" w:eastAsia="宋体" w:cs="Times New Roman"/>
                <w:b w:val="0"/>
                <w:bCs w:val="0"/>
                <w:color w:val="auto"/>
                <w:sz w:val="21"/>
                <w:szCs w:val="21"/>
                <w:lang w:val="en-US" w:eastAsia="zh-CN"/>
              </w:rPr>
              <w:t>/300天</w:t>
            </w:r>
            <w:r>
              <w:rPr>
                <w:rFonts w:hint="eastAsia"/>
                <w:lang w:val="en-US" w:eastAsia="zh-CN"/>
              </w:rPr>
              <w:t>≈</w:t>
            </w:r>
            <w:r>
              <w:rPr>
                <w:rFonts w:hint="eastAsia" w:ascii="Times New Roman" w:hAnsi="Times New Roman" w:eastAsia="宋体" w:cs="Times New Roman"/>
                <w:b w:val="0"/>
                <w:bCs w:val="0"/>
                <w:color w:val="auto"/>
                <w:sz w:val="21"/>
                <w:szCs w:val="21"/>
                <w:lang w:val="en-US" w:eastAsia="zh-CN"/>
              </w:rPr>
              <w:t>33.33米</w:t>
            </w:r>
            <w:r>
              <w:rPr>
                <w:rFonts w:hint="default" w:ascii="Times New Roman" w:hAnsi="Times New Roman" w:eastAsia="宋体" w:cs="Times New Roman"/>
                <w:b w:val="0"/>
                <w:bCs w:val="0"/>
                <w:color w:val="auto"/>
                <w:sz w:val="21"/>
                <w:szCs w:val="21"/>
                <w:lang w:val="en-US" w:eastAsia="zh-CN"/>
              </w:rPr>
              <w:t>/天。</w:t>
            </w:r>
          </w:p>
        </w:tc>
      </w:tr>
    </w:tbl>
    <w:p>
      <w:pPr>
        <w:pStyle w:val="5"/>
        <w:keepNext w:val="0"/>
        <w:keepLines w:val="0"/>
        <w:pageBreakBefore w:val="0"/>
        <w:widowControl w:val="0"/>
        <w:kinsoku/>
        <w:wordWrap/>
        <w:overflowPunct/>
        <w:topLinePunct w:val="0"/>
        <w:autoSpaceDE w:val="0"/>
        <w:autoSpaceDN w:val="0"/>
        <w:bidi w:val="0"/>
        <w:adjustRightInd/>
        <w:snapToGrid/>
        <w:spacing w:before="61" w:line="360" w:lineRule="auto"/>
        <w:ind w:left="839"/>
        <w:textAlignment w:val="auto"/>
        <w:rPr>
          <w:sz w:val="20"/>
        </w:rPr>
      </w:pPr>
      <w:r>
        <w:t>监测结果表明：</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839"/>
        <w:textAlignment w:val="auto"/>
        <w:rPr>
          <w:sz w:val="28"/>
          <w:szCs w:val="28"/>
        </w:rPr>
      </w:pPr>
      <w:r>
        <w:rPr>
          <w:rFonts w:ascii="Times New Roman" w:eastAsia="Times New Roman"/>
          <w:sz w:val="28"/>
          <w:szCs w:val="28"/>
        </w:rPr>
        <w:t>1</w:t>
      </w:r>
      <w:r>
        <w:rPr>
          <w:sz w:val="28"/>
          <w:szCs w:val="28"/>
        </w:rPr>
        <w:t>、废气</w:t>
      </w:r>
    </w:p>
    <w:p>
      <w:pPr>
        <w:pStyle w:val="2"/>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firstLine="560" w:firstLineChars="200"/>
        <w:jc w:val="both"/>
        <w:textAlignment w:val="auto"/>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sz w:val="28"/>
          <w:szCs w:val="28"/>
          <w:lang w:val="en-US" w:eastAsia="zh-CN"/>
        </w:rPr>
        <w:t>验收监测期间，</w:t>
      </w:r>
      <w:r>
        <w:rPr>
          <w:rFonts w:hint="eastAsia" w:ascii="Times New Roman" w:hAnsi="Times New Roman" w:eastAsia="宋体" w:cs="Times New Roman"/>
          <w:b w:val="0"/>
          <w:bCs w:val="0"/>
          <w:sz w:val="28"/>
          <w:szCs w:val="28"/>
          <w:lang w:val="en-US" w:eastAsia="zh-CN"/>
        </w:rPr>
        <w:t>有</w:t>
      </w:r>
      <w:r>
        <w:rPr>
          <w:rFonts w:hint="default" w:ascii="Times New Roman" w:hAnsi="Times New Roman" w:eastAsia="宋体" w:cs="Times New Roman"/>
          <w:b w:val="0"/>
          <w:bCs w:val="0"/>
          <w:sz w:val="28"/>
          <w:szCs w:val="28"/>
          <w:highlight w:val="none"/>
          <w:vertAlign w:val="baseline"/>
          <w:lang w:val="en-US" w:eastAsia="zh-CN"/>
        </w:rPr>
        <w:t>组织</w:t>
      </w:r>
      <w:r>
        <w:rPr>
          <w:rFonts w:hint="eastAsia" w:ascii="Times New Roman" w:hAnsi="Times New Roman" w:eastAsia="宋体" w:cs="Times New Roman"/>
          <w:b w:val="0"/>
          <w:bCs w:val="0"/>
          <w:sz w:val="28"/>
          <w:szCs w:val="28"/>
          <w:highlight w:val="none"/>
          <w:vertAlign w:val="baseline"/>
          <w:lang w:val="en-US" w:eastAsia="zh-CN"/>
        </w:rPr>
        <w:t>VOCs最大监测浓度3.58</w:t>
      </w:r>
      <w:r>
        <w:rPr>
          <w:rFonts w:hint="default" w:ascii="Times New Roman" w:hAnsi="Times New Roman" w:eastAsia="宋体" w:cs="Times New Roman"/>
          <w:color w:val="auto"/>
          <w:sz w:val="28"/>
          <w:szCs w:val="28"/>
          <w:lang w:val="en-US" w:eastAsia="zh-CN"/>
        </w:rPr>
        <w:t>mg/m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w:t>
      </w:r>
      <w:r>
        <w:rPr>
          <w:rFonts w:hint="eastAsia" w:ascii="Times New Roman" w:hAnsi="Times New Roman" w:eastAsia="宋体" w:cs="Times New Roman"/>
          <w:color w:val="auto"/>
          <w:sz w:val="28"/>
          <w:szCs w:val="28"/>
          <w:lang w:val="en-US" w:eastAsia="zh-CN"/>
        </w:rPr>
        <w:t>排放速率0.0225kg/h，</w:t>
      </w:r>
      <w:r>
        <w:rPr>
          <w:rFonts w:hint="eastAsia" w:ascii="Times New Roman" w:hAnsi="Times New Roman" w:eastAsia="宋体" w:cs="Times New Roman"/>
          <w:b w:val="0"/>
          <w:bCs w:val="0"/>
          <w:sz w:val="28"/>
          <w:szCs w:val="28"/>
          <w:lang w:val="en-US" w:eastAsia="zh-CN"/>
        </w:rPr>
        <w:t>有</w:t>
      </w:r>
      <w:r>
        <w:rPr>
          <w:rFonts w:hint="default" w:ascii="Times New Roman" w:hAnsi="Times New Roman" w:eastAsia="宋体" w:cs="Times New Roman"/>
          <w:b w:val="0"/>
          <w:bCs w:val="0"/>
          <w:sz w:val="28"/>
          <w:szCs w:val="28"/>
          <w:highlight w:val="none"/>
          <w:vertAlign w:val="baseline"/>
          <w:lang w:val="en-US" w:eastAsia="zh-CN"/>
        </w:rPr>
        <w:t>组织</w:t>
      </w:r>
      <w:r>
        <w:rPr>
          <w:rFonts w:hint="eastAsia" w:ascii="Times New Roman" w:hAnsi="Times New Roman" w:eastAsia="宋体" w:cs="Times New Roman"/>
          <w:b w:val="0"/>
          <w:bCs w:val="0"/>
          <w:sz w:val="28"/>
          <w:szCs w:val="28"/>
          <w:highlight w:val="none"/>
          <w:vertAlign w:val="baseline"/>
          <w:lang w:val="en-US" w:eastAsia="zh-CN"/>
        </w:rPr>
        <w:t>苯乙烯未检出，</w:t>
      </w:r>
      <w:r>
        <w:rPr>
          <w:rFonts w:hint="default" w:ascii="Times New Roman" w:hAnsi="Times New Roman" w:eastAsia="宋体" w:cs="Times New Roman"/>
          <w:b w:val="0"/>
          <w:bCs w:val="0"/>
          <w:sz w:val="28"/>
          <w:szCs w:val="28"/>
          <w:highlight w:val="none"/>
          <w:vertAlign w:val="baseline"/>
          <w:lang w:val="en-US" w:eastAsia="zh-CN"/>
        </w:rPr>
        <w:t>厂界</w:t>
      </w:r>
      <w:r>
        <w:rPr>
          <w:rFonts w:hint="eastAsia" w:ascii="Times New Roman" w:hAnsi="Times New Roman" w:eastAsia="宋体" w:cs="Times New Roman"/>
          <w:b w:val="0"/>
          <w:bCs w:val="0"/>
          <w:sz w:val="28"/>
          <w:szCs w:val="28"/>
          <w:highlight w:val="none"/>
          <w:vertAlign w:val="baseline"/>
          <w:lang w:val="en-US" w:eastAsia="zh-CN"/>
        </w:rPr>
        <w:t>颗粒物、VOCs</w:t>
      </w:r>
      <w:r>
        <w:rPr>
          <w:rFonts w:hint="default" w:ascii="Times New Roman" w:hAnsi="Times New Roman" w:eastAsia="宋体" w:cs="Times New Roman"/>
          <w:b w:val="0"/>
          <w:bCs w:val="0"/>
          <w:sz w:val="28"/>
          <w:szCs w:val="28"/>
          <w:highlight w:val="none"/>
          <w:vertAlign w:val="baseline"/>
          <w:lang w:val="en-US" w:eastAsia="zh-CN"/>
        </w:rPr>
        <w:t>最大检测浓度为</w:t>
      </w:r>
      <w:r>
        <w:rPr>
          <w:rFonts w:hint="eastAsia" w:ascii="Times New Roman" w:hAnsi="Times New Roman" w:eastAsia="宋体" w:cs="Times New Roman"/>
          <w:color w:val="auto"/>
          <w:sz w:val="28"/>
          <w:szCs w:val="28"/>
          <w:highlight w:val="none"/>
          <w:lang w:val="en-US" w:eastAsia="zh-CN"/>
        </w:rPr>
        <w:t>0.279</w:t>
      </w:r>
      <w:r>
        <w:rPr>
          <w:rFonts w:hint="default" w:ascii="Times New Roman" w:hAnsi="Times New Roman" w:eastAsia="宋体" w:cs="Times New Roman"/>
          <w:color w:val="auto"/>
          <w:sz w:val="28"/>
          <w:szCs w:val="28"/>
          <w:lang w:val="en-US" w:eastAsia="zh-CN"/>
        </w:rPr>
        <w:t>mg/m</w:t>
      </w:r>
      <w:r>
        <w:rPr>
          <w:rFonts w:hint="default" w:ascii="Times New Roman" w:hAnsi="Times New Roman" w:eastAsia="宋体" w:cs="Times New Roman"/>
          <w:color w:val="auto"/>
          <w:sz w:val="28"/>
          <w:szCs w:val="28"/>
          <w:vertAlign w:val="superscript"/>
          <w:lang w:val="en-US" w:eastAsia="zh-CN"/>
        </w:rPr>
        <w:t>3</w:t>
      </w:r>
      <w:r>
        <w:rPr>
          <w:rFonts w:hint="eastAsia" w:ascii="Times New Roman" w:hAnsi="Times New Roman" w:eastAsia="宋体" w:cs="Times New Roman"/>
          <w:color w:val="auto"/>
          <w:sz w:val="28"/>
          <w:szCs w:val="28"/>
          <w:lang w:val="en-US" w:eastAsia="zh-CN"/>
        </w:rPr>
        <w:t>、1.94</w:t>
      </w:r>
      <w:r>
        <w:rPr>
          <w:rFonts w:hint="default" w:ascii="Times New Roman" w:hAnsi="Times New Roman" w:eastAsia="宋体" w:cs="Times New Roman"/>
          <w:color w:val="auto"/>
          <w:sz w:val="28"/>
          <w:szCs w:val="28"/>
          <w:lang w:val="en-US" w:eastAsia="zh-CN"/>
        </w:rPr>
        <w:t>mg/m</w:t>
      </w:r>
      <w:r>
        <w:rPr>
          <w:rFonts w:hint="default" w:ascii="Times New Roman" w:hAnsi="Times New Roman" w:eastAsia="宋体" w:cs="Times New Roman"/>
          <w:color w:val="auto"/>
          <w:sz w:val="28"/>
          <w:szCs w:val="28"/>
          <w:vertAlign w:val="superscript"/>
          <w:lang w:val="en-US" w:eastAsia="zh-CN"/>
        </w:rPr>
        <w:t>3</w:t>
      </w:r>
      <w:r>
        <w:rPr>
          <w:rFonts w:hint="eastAsia" w:ascii="Times New Roman" w:hAnsi="Times New Roman" w:eastAsia="宋体" w:cs="Times New Roman"/>
          <w:color w:val="auto"/>
          <w:sz w:val="28"/>
          <w:szCs w:val="28"/>
          <w:lang w:val="en-US" w:eastAsia="zh-CN"/>
        </w:rPr>
        <w:t>，苯乙烯未检出，</w:t>
      </w:r>
      <w:r>
        <w:rPr>
          <w:rFonts w:hint="default" w:ascii="Times New Roman" w:hAnsi="Times New Roman" w:eastAsia="宋体" w:cs="Times New Roman"/>
          <w:color w:val="auto"/>
          <w:sz w:val="28"/>
          <w:szCs w:val="28"/>
          <w:lang w:val="en-US" w:eastAsia="zh-CN"/>
        </w:rPr>
        <w:t>满足</w:t>
      </w:r>
      <w:r>
        <w:rPr>
          <w:rFonts w:hint="eastAsia" w:ascii="Times New Roman" w:hAnsi="Times New Roman" w:cs="Times New Roman"/>
          <w:color w:val="auto"/>
          <w:sz w:val="28"/>
          <w:szCs w:val="28"/>
          <w:lang w:eastAsia="zh-CN"/>
        </w:rPr>
        <w:t>《挥发性有机物排放标准</w:t>
      </w:r>
      <w:r>
        <w:rPr>
          <w:rFonts w:hint="eastAsia" w:ascii="Times New Roman" w:hAnsi="Times New Roman" w:cs="Times New Roman"/>
          <w:color w:val="auto"/>
          <w:sz w:val="28"/>
          <w:szCs w:val="28"/>
          <w:lang w:val="en-US" w:eastAsia="zh-CN"/>
        </w:rPr>
        <w:t xml:space="preserve"> 第7部分：其他行业</w:t>
      </w:r>
      <w:r>
        <w:rPr>
          <w:rFonts w:hint="eastAsia" w:ascii="Times New Roman" w:hAnsi="Times New Roman" w:cs="Times New Roman"/>
          <w:color w:val="auto"/>
          <w:sz w:val="28"/>
          <w:szCs w:val="28"/>
          <w:lang w:eastAsia="zh-CN"/>
        </w:rPr>
        <w:t>》（</w:t>
      </w:r>
      <w:r>
        <w:rPr>
          <w:rFonts w:hint="eastAsia" w:ascii="Times New Roman" w:hAnsi="Times New Roman" w:cs="Times New Roman"/>
          <w:color w:val="auto"/>
          <w:sz w:val="28"/>
          <w:szCs w:val="28"/>
          <w:lang w:val="en-US" w:eastAsia="zh-CN"/>
        </w:rPr>
        <w:t>DB37/ 2801.7-2019</w:t>
      </w:r>
      <w:r>
        <w:rPr>
          <w:rFonts w:hint="eastAsia" w:ascii="Times New Roman" w:hAnsi="Times New Roman" w:cs="Times New Roman"/>
          <w:color w:val="auto"/>
          <w:sz w:val="28"/>
          <w:szCs w:val="28"/>
          <w:lang w:eastAsia="zh-CN"/>
        </w:rPr>
        <w:t>）表</w:t>
      </w:r>
      <w:r>
        <w:rPr>
          <w:rFonts w:hint="eastAsia" w:ascii="Times New Roman" w:hAnsi="Times New Roman" w:cs="Times New Roman"/>
          <w:color w:val="auto"/>
          <w:sz w:val="28"/>
          <w:szCs w:val="28"/>
          <w:lang w:val="en-US" w:eastAsia="zh-CN"/>
        </w:rPr>
        <w:t>1、表2及表3标准、</w:t>
      </w:r>
      <w:r>
        <w:rPr>
          <w:rFonts w:hint="eastAsia" w:ascii="Times New Roman" w:hAnsi="Times New Roman" w:cs="Times New Roman"/>
          <w:color w:val="auto"/>
          <w:sz w:val="28"/>
          <w:szCs w:val="28"/>
          <w:lang w:eastAsia="zh-CN"/>
        </w:rPr>
        <w:t>《恶臭污染物排放标准》（</w:t>
      </w:r>
      <w:r>
        <w:rPr>
          <w:rFonts w:hint="eastAsia" w:ascii="Times New Roman" w:hAnsi="Times New Roman" w:cs="Times New Roman"/>
          <w:color w:val="auto"/>
          <w:sz w:val="28"/>
          <w:szCs w:val="28"/>
          <w:lang w:val="en-US" w:eastAsia="zh-CN"/>
        </w:rPr>
        <w:t>GB14554-93</w:t>
      </w:r>
      <w:r>
        <w:rPr>
          <w:rFonts w:hint="eastAsia" w:ascii="Times New Roman" w:hAnsi="Times New Roman" w:cs="Times New Roman"/>
          <w:color w:val="auto"/>
          <w:sz w:val="28"/>
          <w:szCs w:val="28"/>
          <w:lang w:eastAsia="zh-CN"/>
        </w:rPr>
        <w:t>）</w:t>
      </w:r>
      <w:r>
        <w:rPr>
          <w:rFonts w:hint="eastAsia" w:ascii="Times New Roman" w:hAnsi="Times New Roman" w:cs="Times New Roman"/>
          <w:color w:val="auto"/>
          <w:sz w:val="28"/>
          <w:szCs w:val="28"/>
          <w:lang w:val="en-US" w:eastAsia="zh-CN"/>
        </w:rPr>
        <w:t>表2标准、</w:t>
      </w:r>
      <w:r>
        <w:rPr>
          <w:rFonts w:hint="default" w:ascii="Times New Roman" w:hAnsi="Times New Roman" w:eastAsia="宋体" w:cs="Times New Roman"/>
          <w:b w:val="0"/>
          <w:bCs w:val="0"/>
          <w:sz w:val="28"/>
          <w:szCs w:val="28"/>
          <w:lang w:val="en-US" w:eastAsia="zh-CN"/>
        </w:rPr>
        <w:t>《大气污染物综合排放标准》（GB16297-1996）表2</w:t>
      </w:r>
      <w:r>
        <w:rPr>
          <w:rFonts w:hint="eastAsia" w:ascii="Times New Roman" w:hAnsi="Times New Roman" w:eastAsia="宋体" w:cs="Times New Roman"/>
          <w:b w:val="0"/>
          <w:bCs w:val="0"/>
          <w:sz w:val="28"/>
          <w:szCs w:val="28"/>
          <w:lang w:val="en-US" w:eastAsia="zh-CN"/>
        </w:rPr>
        <w:t>标准</w:t>
      </w:r>
      <w:r>
        <w:rPr>
          <w:rFonts w:hint="default" w:ascii="Times New Roman" w:hAnsi="Times New Roman" w:eastAsia="宋体" w:cs="Times New Roman"/>
          <w:b w:val="0"/>
          <w:bCs w:val="0"/>
          <w:sz w:val="28"/>
          <w:szCs w:val="28"/>
          <w:lang w:val="en-US" w:eastAsia="zh-CN"/>
        </w:rPr>
        <w:t>要求</w:t>
      </w:r>
      <w:r>
        <w:rPr>
          <w:rFonts w:hint="eastAsia" w:ascii="Times New Roman" w:hAnsi="Times New Roman" w:eastAsia="宋体" w:cs="Times New Roman"/>
          <w:b w:val="0"/>
          <w:bCs w:val="0"/>
          <w:sz w:val="28"/>
          <w:szCs w:val="28"/>
          <w:lang w:val="en-US" w:eastAsia="zh-CN"/>
        </w:rPr>
        <w:t>。</w:t>
      </w:r>
    </w:p>
    <w:p>
      <w:pPr>
        <w:keepNext w:val="0"/>
        <w:keepLines w:val="0"/>
        <w:pageBreakBefore w:val="0"/>
        <w:widowControl w:val="0"/>
        <w:kinsoku/>
        <w:wordWrap/>
        <w:overflowPunct/>
        <w:topLinePunct w:val="0"/>
        <w:autoSpaceDE/>
        <w:autoSpaceDN/>
        <w:bidi w:val="0"/>
        <w:adjustRightInd w:val="0"/>
        <w:snapToGrid w:val="0"/>
        <w:spacing w:before="0" w:line="360" w:lineRule="auto"/>
        <w:ind w:firstLine="562" w:firstLineChars="200"/>
        <w:jc w:val="both"/>
        <w:textAlignment w:val="auto"/>
        <w:outlineLvl w:val="9"/>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color w:val="000000"/>
          <w:kern w:val="2"/>
          <w:sz w:val="28"/>
          <w:szCs w:val="28"/>
          <w:lang w:val="en-US" w:eastAsia="zh-CN" w:bidi="ar-SA"/>
        </w:rPr>
        <w:t>总量核查：</w:t>
      </w:r>
      <w:r>
        <w:rPr>
          <w:rFonts w:hint="default" w:ascii="Times New Roman" w:hAnsi="Times New Roman" w:eastAsia="宋体" w:cs="Times New Roman"/>
          <w:b w:val="0"/>
          <w:bCs/>
          <w:color w:val="000000"/>
          <w:kern w:val="2"/>
          <w:sz w:val="28"/>
          <w:szCs w:val="28"/>
          <w:lang w:val="en-US" w:eastAsia="zh-CN" w:bidi="ar-SA"/>
        </w:rPr>
        <w:t>根据环评批复及总量确认书要求，本项目总量控制指标为</w:t>
      </w:r>
      <w:r>
        <w:rPr>
          <w:rFonts w:hint="eastAsia" w:ascii="Times New Roman" w:hAnsi="Times New Roman" w:eastAsia="宋体" w:cs="Times New Roman"/>
          <w:color w:val="auto"/>
          <w:sz w:val="28"/>
          <w:szCs w:val="28"/>
          <w:lang w:val="en-US" w:eastAsia="zh-CN"/>
        </w:rPr>
        <w:t>VOCs0.01536t/a</w:t>
      </w:r>
      <w:r>
        <w:rPr>
          <w:rFonts w:hint="default" w:ascii="Times New Roman" w:hAnsi="Times New Roman" w:eastAsia="宋体" w:cs="Times New Roman"/>
          <w:b w:val="0"/>
          <w:bCs/>
          <w:color w:val="000000"/>
          <w:kern w:val="2"/>
          <w:sz w:val="28"/>
          <w:szCs w:val="28"/>
          <w:lang w:val="en-US" w:eastAsia="zh-CN" w:bidi="ar-SA"/>
        </w:rPr>
        <w:t>。根据两天的验收监测结果（取两天均值的平均值），企业的</w:t>
      </w:r>
      <w:r>
        <w:rPr>
          <w:rFonts w:hint="eastAsia" w:ascii="Times New Roman" w:hAnsi="Times New Roman" w:eastAsia="宋体" w:cs="Times New Roman"/>
          <w:color w:val="auto"/>
          <w:sz w:val="28"/>
          <w:szCs w:val="28"/>
          <w:lang w:val="en-US" w:eastAsia="zh-CN"/>
        </w:rPr>
        <w:t>VOCs</w:t>
      </w:r>
      <w:r>
        <w:rPr>
          <w:rFonts w:hint="default" w:ascii="Times New Roman" w:hAnsi="Times New Roman" w:eastAsia="宋体" w:cs="Times New Roman"/>
          <w:b w:val="0"/>
          <w:bCs/>
          <w:color w:val="000000"/>
          <w:kern w:val="2"/>
          <w:sz w:val="28"/>
          <w:szCs w:val="28"/>
          <w:lang w:val="en-US" w:eastAsia="zh-CN" w:bidi="ar-SA"/>
        </w:rPr>
        <w:t>的排放速率为</w:t>
      </w:r>
      <w:r>
        <w:rPr>
          <w:rFonts w:hint="eastAsia" w:ascii="Times New Roman" w:hAnsi="Times New Roman" w:eastAsia="宋体" w:cs="Times New Roman"/>
          <w:b w:val="0"/>
          <w:bCs/>
          <w:color w:val="000000"/>
          <w:kern w:val="2"/>
          <w:sz w:val="28"/>
          <w:szCs w:val="28"/>
          <w:lang w:val="en-US" w:eastAsia="zh-CN" w:bidi="ar-SA"/>
        </w:rPr>
        <w:t>0.00817</w:t>
      </w:r>
      <w:r>
        <w:rPr>
          <w:rFonts w:hint="default" w:ascii="Times New Roman" w:hAnsi="Times New Roman" w:eastAsia="宋体" w:cs="Times New Roman"/>
          <w:b w:val="0"/>
          <w:bCs/>
          <w:color w:val="000000"/>
          <w:kern w:val="2"/>
          <w:sz w:val="28"/>
          <w:szCs w:val="28"/>
          <w:lang w:val="en-US" w:eastAsia="zh-CN" w:bidi="ar-SA"/>
        </w:rPr>
        <w:t>kg/h</w:t>
      </w:r>
      <w:r>
        <w:rPr>
          <w:rFonts w:hint="eastAsia" w:ascii="Times New Roman" w:hAnsi="Times New Roman" w:eastAsia="宋体" w:cs="Times New Roman"/>
          <w:b w:val="0"/>
          <w:bCs/>
          <w:color w:val="000000"/>
          <w:kern w:val="2"/>
          <w:sz w:val="28"/>
          <w:szCs w:val="28"/>
          <w:lang w:val="en-US" w:eastAsia="zh-CN" w:bidi="ar-SA"/>
        </w:rPr>
        <w:t>。根据</w:t>
      </w:r>
      <w:r>
        <w:rPr>
          <w:rFonts w:hint="default" w:ascii="Times New Roman" w:hAnsi="Times New Roman" w:eastAsia="宋体" w:cs="Times New Roman"/>
          <w:b w:val="0"/>
          <w:bCs/>
          <w:color w:val="000000"/>
          <w:kern w:val="2"/>
          <w:sz w:val="28"/>
          <w:szCs w:val="28"/>
          <w:lang w:val="en-US" w:eastAsia="zh-CN" w:bidi="ar-SA"/>
        </w:rPr>
        <w:t>企业</w:t>
      </w:r>
      <w:r>
        <w:rPr>
          <w:rFonts w:hint="eastAsia" w:ascii="Times New Roman" w:hAnsi="Times New Roman" w:eastAsia="宋体" w:cs="Times New Roman"/>
          <w:b w:val="0"/>
          <w:bCs/>
          <w:color w:val="000000"/>
          <w:kern w:val="2"/>
          <w:sz w:val="28"/>
          <w:szCs w:val="28"/>
          <w:lang w:val="en-US" w:eastAsia="zh-CN" w:bidi="ar-SA"/>
        </w:rPr>
        <w:t>提供时间，</w:t>
      </w:r>
      <w:r>
        <w:rPr>
          <w:rFonts w:hint="default" w:ascii="Times New Roman" w:hAnsi="Times New Roman" w:eastAsia="宋体" w:cs="Times New Roman"/>
          <w:b w:val="0"/>
          <w:bCs/>
          <w:color w:val="000000"/>
          <w:kern w:val="2"/>
          <w:sz w:val="28"/>
          <w:szCs w:val="28"/>
          <w:lang w:val="en-US" w:eastAsia="zh-CN" w:bidi="ar-SA"/>
        </w:rPr>
        <w:t>年运行时间为</w:t>
      </w:r>
      <w:r>
        <w:rPr>
          <w:rFonts w:hint="eastAsia" w:ascii="Times New Roman" w:hAnsi="Times New Roman" w:eastAsia="宋体" w:cs="Times New Roman"/>
          <w:b w:val="0"/>
          <w:bCs/>
          <w:color w:val="000000"/>
          <w:kern w:val="2"/>
          <w:sz w:val="28"/>
          <w:szCs w:val="28"/>
          <w:lang w:val="en-US" w:eastAsia="zh-CN" w:bidi="ar-SA"/>
        </w:rPr>
        <w:t>720</w:t>
      </w:r>
      <w:r>
        <w:rPr>
          <w:rFonts w:hint="default" w:ascii="Times New Roman" w:hAnsi="Times New Roman" w:eastAsia="宋体" w:cs="Times New Roman"/>
          <w:b w:val="0"/>
          <w:bCs/>
          <w:color w:val="000000"/>
          <w:kern w:val="2"/>
          <w:sz w:val="28"/>
          <w:szCs w:val="28"/>
          <w:lang w:val="en-US" w:eastAsia="zh-CN" w:bidi="ar-SA"/>
        </w:rPr>
        <w:t>小时，</w:t>
      </w:r>
      <w:r>
        <w:rPr>
          <w:rFonts w:hint="eastAsia" w:ascii="Times New Roman" w:hAnsi="Times New Roman" w:eastAsia="宋体" w:cs="Times New Roman"/>
          <w:b w:val="0"/>
          <w:bCs/>
          <w:color w:val="000000"/>
          <w:kern w:val="2"/>
          <w:sz w:val="28"/>
          <w:szCs w:val="28"/>
          <w:lang w:val="en-US" w:eastAsia="zh-CN" w:bidi="ar-SA"/>
        </w:rPr>
        <w:t>验收期间企业生产负荷89.8%，</w:t>
      </w:r>
      <w:r>
        <w:rPr>
          <w:rFonts w:hint="eastAsia" w:ascii="Times New Roman" w:hAnsi="Times New Roman" w:eastAsia="宋体" w:cs="Times New Roman"/>
          <w:color w:val="auto"/>
          <w:sz w:val="28"/>
          <w:szCs w:val="28"/>
          <w:lang w:val="en-US" w:eastAsia="zh-CN"/>
        </w:rPr>
        <w:t>VOCs</w:t>
      </w:r>
      <w:r>
        <w:rPr>
          <w:rFonts w:hint="default" w:ascii="Times New Roman" w:hAnsi="Times New Roman" w:eastAsia="宋体" w:cs="Times New Roman"/>
          <w:b w:val="0"/>
          <w:bCs/>
          <w:color w:val="000000"/>
          <w:kern w:val="2"/>
          <w:sz w:val="28"/>
          <w:szCs w:val="28"/>
          <w:lang w:val="en-US" w:eastAsia="zh-CN" w:bidi="ar-SA"/>
        </w:rPr>
        <w:t>排放量为0.00</w:t>
      </w:r>
      <w:r>
        <w:rPr>
          <w:rFonts w:hint="eastAsia" w:ascii="Times New Roman" w:hAnsi="Times New Roman" w:eastAsia="宋体" w:cs="Times New Roman"/>
          <w:b w:val="0"/>
          <w:bCs/>
          <w:color w:val="000000"/>
          <w:kern w:val="2"/>
          <w:sz w:val="28"/>
          <w:szCs w:val="28"/>
          <w:lang w:val="en-US" w:eastAsia="zh-CN" w:bidi="ar-SA"/>
        </w:rPr>
        <w:t>59</w:t>
      </w:r>
      <w:r>
        <w:rPr>
          <w:rFonts w:hint="default" w:ascii="Times New Roman" w:hAnsi="Times New Roman" w:eastAsia="宋体" w:cs="Times New Roman"/>
          <w:b w:val="0"/>
          <w:bCs/>
          <w:color w:val="000000"/>
          <w:kern w:val="2"/>
          <w:sz w:val="28"/>
          <w:szCs w:val="28"/>
          <w:lang w:val="en-US" w:eastAsia="zh-CN" w:bidi="ar-SA"/>
        </w:rPr>
        <w:t>t/a，</w:t>
      </w:r>
      <w:r>
        <w:rPr>
          <w:rFonts w:hint="eastAsia" w:ascii="Times New Roman" w:hAnsi="Times New Roman" w:eastAsia="宋体" w:cs="Times New Roman"/>
          <w:b w:val="0"/>
          <w:bCs/>
          <w:color w:val="000000"/>
          <w:kern w:val="2"/>
          <w:sz w:val="28"/>
          <w:szCs w:val="28"/>
          <w:lang w:val="en-US" w:eastAsia="zh-CN" w:bidi="ar-SA"/>
        </w:rPr>
        <w:t>折合成满负荷后</w:t>
      </w:r>
      <w:r>
        <w:rPr>
          <w:rFonts w:hint="eastAsia" w:ascii="Times New Roman" w:hAnsi="Times New Roman" w:eastAsia="宋体" w:cs="Times New Roman"/>
          <w:color w:val="auto"/>
          <w:sz w:val="28"/>
          <w:szCs w:val="28"/>
          <w:lang w:val="en-US" w:eastAsia="zh-CN"/>
        </w:rPr>
        <w:t>VOCs</w:t>
      </w:r>
      <w:r>
        <w:rPr>
          <w:rFonts w:hint="default" w:ascii="Times New Roman" w:hAnsi="Times New Roman" w:eastAsia="宋体" w:cs="Times New Roman"/>
          <w:b w:val="0"/>
          <w:bCs/>
          <w:color w:val="000000"/>
          <w:kern w:val="2"/>
          <w:sz w:val="28"/>
          <w:szCs w:val="28"/>
          <w:lang w:val="en-US" w:eastAsia="zh-CN" w:bidi="ar-SA"/>
        </w:rPr>
        <w:t>排放量为0.00</w:t>
      </w:r>
      <w:r>
        <w:rPr>
          <w:rFonts w:hint="eastAsia" w:ascii="Times New Roman" w:hAnsi="Times New Roman" w:eastAsia="宋体" w:cs="Times New Roman"/>
          <w:b w:val="0"/>
          <w:bCs/>
          <w:color w:val="000000"/>
          <w:kern w:val="2"/>
          <w:sz w:val="28"/>
          <w:szCs w:val="28"/>
          <w:lang w:val="en-US" w:eastAsia="zh-CN" w:bidi="ar-SA"/>
        </w:rPr>
        <w:t>66</w:t>
      </w:r>
      <w:r>
        <w:rPr>
          <w:rFonts w:hint="default" w:ascii="Times New Roman" w:hAnsi="Times New Roman" w:eastAsia="宋体" w:cs="Times New Roman"/>
          <w:b w:val="0"/>
          <w:bCs/>
          <w:color w:val="000000"/>
          <w:kern w:val="2"/>
          <w:sz w:val="28"/>
          <w:szCs w:val="28"/>
          <w:lang w:val="en-US" w:eastAsia="zh-CN" w:bidi="ar-SA"/>
        </w:rPr>
        <w:t>t/a</w:t>
      </w:r>
      <w:r>
        <w:rPr>
          <w:rFonts w:hint="eastAsia" w:ascii="Times New Roman" w:hAnsi="Times New Roman" w:cs="Times New Roman"/>
          <w:b w:val="0"/>
          <w:bCs/>
          <w:color w:val="000000"/>
          <w:kern w:val="2"/>
          <w:sz w:val="28"/>
          <w:szCs w:val="28"/>
          <w:lang w:val="en-US" w:eastAsia="zh-CN" w:bidi="ar-SA"/>
        </w:rPr>
        <w:t>，</w:t>
      </w:r>
      <w:r>
        <w:rPr>
          <w:rFonts w:hint="default" w:ascii="Times New Roman" w:hAnsi="Times New Roman" w:eastAsia="宋体" w:cs="Times New Roman"/>
          <w:b w:val="0"/>
          <w:bCs/>
          <w:color w:val="000000"/>
          <w:kern w:val="2"/>
          <w:sz w:val="28"/>
          <w:szCs w:val="28"/>
          <w:lang w:val="en-US" w:eastAsia="zh-CN" w:bidi="ar-SA"/>
        </w:rPr>
        <w:t>满足环评批复及总量确认书的总量控制指标。</w:t>
      </w:r>
    </w:p>
    <w:p>
      <w:pPr>
        <w:pStyle w:val="5"/>
        <w:keepNext w:val="0"/>
        <w:keepLines w:val="0"/>
        <w:pageBreakBefore w:val="0"/>
        <w:widowControl w:val="0"/>
        <w:kinsoku/>
        <w:wordWrap/>
        <w:overflowPunct/>
        <w:topLinePunct w:val="0"/>
        <w:bidi w:val="0"/>
        <w:spacing w:before="0" w:line="360" w:lineRule="auto"/>
        <w:ind w:left="837"/>
        <w:textAlignment w:val="auto"/>
        <w:rPr>
          <w:rFonts w:hint="default" w:ascii="Times New Roman" w:hAnsi="Times New Roman" w:cs="Times New Roman"/>
          <w:sz w:val="24"/>
        </w:rPr>
      </w:pPr>
      <w:r>
        <w:rPr>
          <w:rFonts w:hint="default" w:ascii="Times New Roman" w:hAnsi="Times New Roman" w:eastAsia="Times New Roman" w:cs="Times New Roman"/>
        </w:rPr>
        <w:t>2</w:t>
      </w:r>
      <w:r>
        <w:rPr>
          <w:rFonts w:hint="default" w:ascii="Times New Roman" w:hAnsi="Times New Roman" w:cs="Times New Roman"/>
        </w:rPr>
        <w:t>、废水</w:t>
      </w:r>
    </w:p>
    <w:p>
      <w:pPr>
        <w:pStyle w:val="5"/>
        <w:keepNext w:val="0"/>
        <w:keepLines w:val="0"/>
        <w:pageBreakBefore w:val="0"/>
        <w:widowControl w:val="0"/>
        <w:kinsoku/>
        <w:wordWrap/>
        <w:overflowPunct/>
        <w:topLinePunct w:val="0"/>
        <w:bidi w:val="0"/>
        <w:spacing w:before="0" w:line="360" w:lineRule="auto"/>
        <w:ind w:left="837"/>
        <w:textAlignment w:val="auto"/>
        <w:rPr>
          <w:rFonts w:hint="default" w:ascii="Times New Roman" w:hAnsi="Times New Roman" w:cs="Times New Roman" w:eastAsiaTheme="majorEastAsia"/>
          <w:snapToGrid w:val="0"/>
          <w:kern w:val="0"/>
          <w:sz w:val="28"/>
          <w:szCs w:val="28"/>
        </w:rPr>
      </w:pPr>
      <w:r>
        <w:rPr>
          <w:rFonts w:hint="default" w:ascii="Times New Roman" w:hAnsi="Times New Roman" w:cs="Times New Roman" w:eastAsiaTheme="majorEastAsia"/>
          <w:snapToGrid w:val="0"/>
          <w:kern w:val="0"/>
          <w:sz w:val="28"/>
          <w:szCs w:val="28"/>
        </w:rPr>
        <w:t>见三、（</w:t>
      </w:r>
      <w:r>
        <w:rPr>
          <w:rFonts w:hint="eastAsia" w:ascii="Times New Roman" w:hAnsi="Times New Roman" w:cs="Times New Roman" w:eastAsiaTheme="majorEastAsia"/>
          <w:snapToGrid w:val="0"/>
          <w:kern w:val="0"/>
          <w:sz w:val="28"/>
          <w:szCs w:val="28"/>
          <w:lang w:eastAsia="zh-CN"/>
        </w:rPr>
        <w:t>一</w:t>
      </w:r>
      <w:r>
        <w:rPr>
          <w:rFonts w:hint="default" w:ascii="Times New Roman" w:hAnsi="Times New Roman" w:cs="Times New Roman" w:eastAsiaTheme="majorEastAsia"/>
          <w:snapToGrid w:val="0"/>
          <w:kern w:val="0"/>
          <w:sz w:val="28"/>
          <w:szCs w:val="28"/>
        </w:rPr>
        <w:t>）款。</w:t>
      </w:r>
    </w:p>
    <w:p>
      <w:pPr>
        <w:pStyle w:val="5"/>
        <w:keepNext w:val="0"/>
        <w:keepLines w:val="0"/>
        <w:pageBreakBefore w:val="0"/>
        <w:widowControl w:val="0"/>
        <w:kinsoku/>
        <w:wordWrap/>
        <w:overflowPunct/>
        <w:topLinePunct w:val="0"/>
        <w:bidi w:val="0"/>
        <w:spacing w:before="0" w:line="360" w:lineRule="auto"/>
        <w:ind w:left="837"/>
        <w:textAlignment w:val="auto"/>
        <w:rPr>
          <w:rFonts w:hint="default" w:ascii="Times New Roman" w:hAnsi="Times New Roman" w:cs="Times New Roman"/>
        </w:rPr>
      </w:pPr>
      <w:r>
        <w:rPr>
          <w:rFonts w:hint="default" w:ascii="Times New Roman" w:hAnsi="Times New Roman" w:eastAsia="Times New Roman" w:cs="Times New Roman"/>
        </w:rPr>
        <w:t>3</w:t>
      </w:r>
      <w:r>
        <w:rPr>
          <w:rFonts w:hint="default" w:ascii="Times New Roman" w:hAnsi="Times New Roman" w:cs="Times New Roman"/>
        </w:rPr>
        <w:t>、噪声</w:t>
      </w:r>
    </w:p>
    <w:p>
      <w:pPr>
        <w:pStyle w:val="5"/>
        <w:keepNext w:val="0"/>
        <w:keepLines w:val="0"/>
        <w:pageBreakBefore w:val="0"/>
        <w:widowControl w:val="0"/>
        <w:kinsoku/>
        <w:wordWrap/>
        <w:overflowPunct/>
        <w:topLinePunct w:val="0"/>
        <w:bidi w:val="0"/>
        <w:spacing w:before="0" w:line="360" w:lineRule="auto"/>
        <w:ind w:left="275" w:right="314" w:firstLine="561"/>
        <w:textAlignment w:val="auto"/>
        <w:rPr>
          <w:rFonts w:hint="default" w:ascii="Times New Roman" w:hAnsi="Times New Roman" w:cs="Times New Roman"/>
        </w:rPr>
      </w:pPr>
      <w:r>
        <w:rPr>
          <w:rFonts w:hint="default" w:ascii="Times New Roman" w:hAnsi="Times New Roman" w:cs="Times New Roman"/>
        </w:rPr>
        <w:t>验收监测期间，各监测点位昼间噪声在</w:t>
      </w:r>
      <w:r>
        <w:rPr>
          <w:rFonts w:hint="default" w:ascii="Times New Roman" w:hAnsi="Times New Roman" w:eastAsia="Times New Roman" w:cs="Times New Roman"/>
        </w:rPr>
        <w:t>54.1dB(A)-57.4dB(A)</w:t>
      </w:r>
      <w:r>
        <w:rPr>
          <w:rFonts w:hint="default" w:ascii="Times New Roman" w:hAnsi="Times New Roman" w:cs="Times New Roman"/>
        </w:rPr>
        <w:t>之间，满足《工业企业厂界环境噪声排放标准》（</w:t>
      </w:r>
      <w:r>
        <w:rPr>
          <w:rFonts w:hint="default" w:ascii="Times New Roman" w:hAnsi="Times New Roman" w:eastAsia="Times New Roman" w:cs="Times New Roman"/>
        </w:rPr>
        <w:t>GB12348</w:t>
      </w:r>
      <w:r>
        <w:rPr>
          <w:rFonts w:hint="default" w:ascii="Times New Roman" w:hAnsi="Times New Roman" w:cs="Times New Roman"/>
        </w:rPr>
        <w:t>－</w:t>
      </w:r>
      <w:r>
        <w:rPr>
          <w:rFonts w:hint="default" w:ascii="Times New Roman" w:hAnsi="Times New Roman" w:eastAsia="Times New Roman" w:cs="Times New Roman"/>
        </w:rPr>
        <w:t>2008</w:t>
      </w:r>
      <w:r>
        <w:rPr>
          <w:rFonts w:hint="default" w:ascii="Times New Roman" w:hAnsi="Times New Roman" w:cs="Times New Roman"/>
        </w:rPr>
        <w:t>）中的</w:t>
      </w:r>
      <w:r>
        <w:rPr>
          <w:rFonts w:hint="default" w:ascii="Times New Roman" w:hAnsi="Times New Roman" w:eastAsia="Times New Roman" w:cs="Times New Roman"/>
        </w:rPr>
        <w:t>3</w:t>
      </w:r>
      <w:r>
        <w:rPr>
          <w:rFonts w:hint="default" w:ascii="Times New Roman" w:hAnsi="Times New Roman" w:cs="Times New Roman"/>
        </w:rPr>
        <w:t>类标准限值。</w:t>
      </w:r>
    </w:p>
    <w:p>
      <w:pPr>
        <w:pStyle w:val="5"/>
        <w:keepNext w:val="0"/>
        <w:keepLines w:val="0"/>
        <w:pageBreakBefore w:val="0"/>
        <w:widowControl w:val="0"/>
        <w:kinsoku/>
        <w:wordWrap/>
        <w:overflowPunct/>
        <w:topLinePunct w:val="0"/>
        <w:bidi w:val="0"/>
        <w:adjustRightInd/>
        <w:snapToGrid/>
        <w:spacing w:before="129" w:line="360" w:lineRule="auto"/>
        <w:ind w:left="837"/>
        <w:textAlignment w:val="auto"/>
        <w:rPr>
          <w:rFonts w:hint="default" w:ascii="Times New Roman" w:hAnsi="Times New Roman" w:cs="Times New Roman"/>
        </w:rPr>
      </w:pPr>
      <w:r>
        <w:rPr>
          <w:rFonts w:hint="default" w:ascii="Times New Roman" w:hAnsi="Times New Roman" w:eastAsia="Times New Roman" w:cs="Times New Roman"/>
        </w:rPr>
        <w:t>4</w:t>
      </w:r>
      <w:r>
        <w:rPr>
          <w:rFonts w:hint="default" w:ascii="Times New Roman" w:hAnsi="Times New Roman" w:cs="Times New Roman"/>
        </w:rPr>
        <w:t>、固体废物</w:t>
      </w:r>
    </w:p>
    <w:p>
      <w:pPr>
        <w:pStyle w:val="5"/>
        <w:spacing w:line="358" w:lineRule="exact"/>
        <w:ind w:left="837"/>
        <w:rPr>
          <w:rFonts w:hint="default" w:ascii="Times New Roman" w:hAnsi="Times New Roman" w:cs="Times New Roman" w:eastAsiaTheme="majorEastAsia"/>
          <w:snapToGrid w:val="0"/>
          <w:kern w:val="0"/>
          <w:sz w:val="28"/>
          <w:szCs w:val="28"/>
        </w:rPr>
      </w:pPr>
      <w:r>
        <w:rPr>
          <w:rFonts w:hint="default" w:ascii="Times New Roman" w:hAnsi="Times New Roman" w:cs="Times New Roman" w:eastAsiaTheme="majorEastAsia"/>
          <w:snapToGrid w:val="0"/>
          <w:kern w:val="0"/>
          <w:sz w:val="28"/>
          <w:szCs w:val="28"/>
        </w:rPr>
        <w:t>见三、（</w:t>
      </w:r>
      <w:r>
        <w:rPr>
          <w:rFonts w:hint="eastAsia" w:ascii="Times New Roman" w:hAnsi="Times New Roman" w:cs="Times New Roman" w:eastAsiaTheme="majorEastAsia"/>
          <w:snapToGrid w:val="0"/>
          <w:kern w:val="0"/>
          <w:sz w:val="28"/>
          <w:szCs w:val="28"/>
          <w:lang w:eastAsia="zh-CN"/>
        </w:rPr>
        <w:t>四</w:t>
      </w:r>
      <w:r>
        <w:rPr>
          <w:rFonts w:hint="default" w:ascii="Times New Roman" w:hAnsi="Times New Roman" w:cs="Times New Roman" w:eastAsiaTheme="majorEastAsia"/>
          <w:snapToGrid w:val="0"/>
          <w:kern w:val="0"/>
          <w:sz w:val="28"/>
          <w:szCs w:val="28"/>
        </w:rPr>
        <w:t>）款。</w:t>
      </w:r>
    </w:p>
    <w:p>
      <w:pPr>
        <w:pStyle w:val="5"/>
        <w:spacing w:line="358" w:lineRule="exact"/>
        <w:ind w:left="837"/>
      </w:pPr>
      <w:r>
        <w:t>五、验收结论</w:t>
      </w:r>
    </w:p>
    <w:p>
      <w:pPr>
        <w:pStyle w:val="5"/>
        <w:spacing w:before="9"/>
        <w:rPr>
          <w:sz w:val="20"/>
        </w:rPr>
      </w:pPr>
    </w:p>
    <w:p>
      <w:pPr>
        <w:pStyle w:val="5"/>
        <w:keepNext w:val="0"/>
        <w:keepLines w:val="0"/>
        <w:pageBreakBefore w:val="0"/>
        <w:widowControl w:val="0"/>
        <w:kinsoku/>
        <w:wordWrap/>
        <w:overflowPunct/>
        <w:topLinePunct w:val="0"/>
        <w:autoSpaceDE w:val="0"/>
        <w:autoSpaceDN w:val="0"/>
        <w:bidi w:val="0"/>
        <w:adjustRightInd/>
        <w:snapToGrid/>
        <w:spacing w:before="35" w:line="360" w:lineRule="auto"/>
        <w:ind w:left="275" w:firstLine="560" w:firstLineChars="200"/>
        <w:textAlignment w:val="auto"/>
        <w:rPr>
          <w:sz w:val="20"/>
        </w:rPr>
      </w:pPr>
      <w:r>
        <w:t>该项目实施过程中按照环评及其批复要求落实了相关环保措施，建立了相应的环保管理制度，项目建设过程无重大变更。验收监测各项指标满足国家相关排放标准。</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275" w:right="27" w:firstLine="561"/>
        <w:textAlignment w:val="auto"/>
      </w:pPr>
      <w:r>
        <w:t>鉴于项目符合国家和地方相关产业标准及准入要求，环保设施与生产配套， 验收期间各项监测指标满足国家相关排放标准，该项目通过环保验收。</w:t>
      </w:r>
    </w:p>
    <w:p>
      <w:pPr>
        <w:pStyle w:val="5"/>
        <w:spacing w:line="358" w:lineRule="exact"/>
        <w:ind w:left="837"/>
      </w:pPr>
      <w:r>
        <w:t>六、后续要求</w:t>
      </w:r>
    </w:p>
    <w:p>
      <w:pPr>
        <w:pStyle w:val="5"/>
        <w:spacing w:before="9"/>
        <w:rPr>
          <w:sz w:val="20"/>
        </w:rPr>
      </w:pPr>
    </w:p>
    <w:p>
      <w:pPr>
        <w:pStyle w:val="5"/>
        <w:spacing w:before="1" w:line="417" w:lineRule="auto"/>
        <w:ind w:left="275" w:right="381" w:firstLine="561"/>
      </w:pPr>
      <w:r>
        <w:rPr>
          <w:rFonts w:ascii="Times New Roman" w:hAnsi="Times New Roman" w:eastAsia="Times New Roman"/>
        </w:rPr>
        <w:t>1</w:t>
      </w:r>
      <w:r>
        <w:t>、加强日常的环保管理与监督，采取合理措施，确保</w:t>
      </w:r>
      <w:r>
        <w:rPr>
          <w:rFonts w:ascii="Times New Roman" w:hAnsi="Times New Roman" w:eastAsia="Times New Roman"/>
        </w:rPr>
        <w:t>“</w:t>
      </w:r>
      <w:r>
        <w:t>三废</w:t>
      </w:r>
      <w:r>
        <w:rPr>
          <w:rFonts w:ascii="Times New Roman" w:hAnsi="Times New Roman" w:eastAsia="Times New Roman"/>
        </w:rPr>
        <w:t>”</w:t>
      </w:r>
      <w:r>
        <w:t>稳定达标排放。</w:t>
      </w:r>
    </w:p>
    <w:p>
      <w:pPr>
        <w:pStyle w:val="5"/>
        <w:spacing w:line="417" w:lineRule="auto"/>
        <w:ind w:left="275" w:right="381" w:firstLine="561"/>
      </w:pPr>
      <w:r>
        <w:rPr>
          <w:rFonts w:ascii="Times New Roman" w:eastAsia="Times New Roman"/>
        </w:rPr>
        <w:t>2</w:t>
      </w:r>
      <w:r>
        <w:t>、落实自行监测计划，定期开展废气、噪声自行监测；按照《企事业单位环境信息公开管理办法》要求进行环境信息公开。</w:t>
      </w:r>
    </w:p>
    <w:p>
      <w:pPr>
        <w:pStyle w:val="5"/>
        <w:spacing w:line="358" w:lineRule="exact"/>
        <w:ind w:left="837"/>
      </w:pPr>
      <w:r>
        <w:rPr>
          <w:rFonts w:ascii="Times New Roman" w:eastAsia="Times New Roman"/>
        </w:rPr>
        <w:t>3</w:t>
      </w:r>
      <w:r>
        <w:t>、进一步规范验收监测报告编制内容。</w:t>
      </w:r>
    </w:p>
    <w:p>
      <w:pPr>
        <w:pStyle w:val="5"/>
        <w:spacing w:before="264" w:line="417" w:lineRule="auto"/>
        <w:ind w:left="275" w:right="381" w:firstLine="561"/>
      </w:pPr>
      <w:r>
        <w:rPr>
          <w:rFonts w:ascii="Times New Roman" w:eastAsia="Times New Roman"/>
        </w:rPr>
        <w:t>4</w:t>
      </w:r>
      <w:r>
        <w:t>、完善危废暂存间标识，管理制度上墙，使用山东省生态环境厅统一格式的危废台账，清理杂物，完善防渗措施。</w:t>
      </w:r>
    </w:p>
    <w:p>
      <w:pPr>
        <w:pStyle w:val="5"/>
        <w:spacing w:line="358" w:lineRule="exact"/>
        <w:ind w:left="837"/>
      </w:pPr>
      <w:r>
        <w:rPr>
          <w:rFonts w:ascii="Times New Roman" w:eastAsia="Times New Roman"/>
        </w:rPr>
        <w:t>5</w:t>
      </w:r>
      <w:r>
        <w:t>、注意焊烟净化器的使用，切实落实控制措施，保证废气达标排放。</w:t>
      </w:r>
    </w:p>
    <w:p>
      <w:pPr>
        <w:pStyle w:val="5"/>
        <w:spacing w:before="266"/>
        <w:ind w:left="837"/>
      </w:pPr>
      <w:r>
        <w:rPr>
          <w:rFonts w:ascii="Times New Roman" w:eastAsia="Times New Roman"/>
        </w:rPr>
        <w:t>6</w:t>
      </w:r>
      <w:r>
        <w:t>、完善废气排放口标识，建设规范的监测平台。</w:t>
      </w:r>
    </w:p>
    <w:p>
      <w:pPr>
        <w:pStyle w:val="5"/>
        <w:spacing w:before="264" w:line="417" w:lineRule="auto"/>
        <w:ind w:left="275" w:right="381" w:firstLine="561"/>
      </w:pPr>
      <w:r>
        <w:rPr>
          <w:rFonts w:ascii="Times New Roman" w:eastAsia="Times New Roman"/>
        </w:rPr>
        <w:t>7</w:t>
      </w:r>
      <w:r>
        <w:t>、有机废气集气罩加软帘，提高集气效率。</w:t>
      </w:r>
    </w:p>
    <w:p>
      <w:pPr>
        <w:pStyle w:val="5"/>
        <w:keepNext w:val="0"/>
        <w:keepLines w:val="0"/>
        <w:pageBreakBefore w:val="0"/>
        <w:widowControl w:val="0"/>
        <w:kinsoku/>
        <w:wordWrap/>
        <w:overflowPunct/>
        <w:topLinePunct w:val="0"/>
        <w:autoSpaceDE w:val="0"/>
        <w:autoSpaceDN w:val="0"/>
        <w:bidi w:val="0"/>
        <w:adjustRightInd/>
        <w:snapToGrid/>
        <w:spacing w:before="0" w:line="418" w:lineRule="auto"/>
        <w:ind w:left="278" w:right="380" w:firstLine="561"/>
        <w:textAlignment w:val="auto"/>
        <w:rPr>
          <w:rFonts w:ascii="宋体" w:hAnsi="宋体" w:eastAsia="宋体" w:cs="宋体"/>
        </w:rPr>
      </w:pPr>
      <w:r>
        <w:rPr>
          <w:rFonts w:ascii="宋体" w:hAnsi="宋体" w:eastAsia="宋体" w:cs="宋体"/>
        </w:rPr>
        <w:t>七、验收组名单</w:t>
      </w:r>
      <w:bookmarkStart w:id="0" w:name="_GoBack"/>
      <w:bookmarkEnd w:id="0"/>
    </w:p>
    <w:p>
      <w:pPr>
        <w:pStyle w:val="5"/>
        <w:keepNext w:val="0"/>
        <w:keepLines w:val="0"/>
        <w:pageBreakBefore w:val="0"/>
        <w:widowControl w:val="0"/>
        <w:kinsoku/>
        <w:wordWrap/>
        <w:overflowPunct/>
        <w:topLinePunct w:val="0"/>
        <w:autoSpaceDE w:val="0"/>
        <w:autoSpaceDN w:val="0"/>
        <w:bidi w:val="0"/>
        <w:adjustRightInd/>
        <w:snapToGrid/>
        <w:spacing w:before="0" w:line="418" w:lineRule="auto"/>
        <w:ind w:left="278" w:right="380" w:firstLine="561"/>
        <w:textAlignment w:val="auto"/>
        <w:rPr>
          <w:rFonts w:ascii="宋体" w:hAnsi="宋体" w:eastAsia="宋体" w:cs="宋体"/>
        </w:rPr>
      </w:pPr>
      <w:r>
        <w:rPr>
          <w:rFonts w:ascii="宋体" w:hAnsi="宋体" w:eastAsia="宋体" w:cs="宋体"/>
        </w:rPr>
        <w:t>见附件。</w:t>
      </w:r>
    </w:p>
    <w:p>
      <w:pPr>
        <w:pStyle w:val="5"/>
        <w:spacing w:before="264" w:line="417" w:lineRule="auto"/>
        <w:ind w:left="275" w:right="381" w:firstLine="561"/>
        <w:rPr>
          <w:rFonts w:ascii="宋体" w:hAnsi="宋体" w:eastAsia="宋体" w:cs="宋体"/>
        </w:rPr>
      </w:pPr>
    </w:p>
    <w:p>
      <w:pPr>
        <w:pStyle w:val="5"/>
        <w:spacing w:before="250"/>
        <w:ind w:firstLine="5320" w:firstLineChars="1900"/>
      </w:pPr>
      <w:r>
        <w:t>山东波菲特环保科技有限公司验收组</w:t>
      </w:r>
    </w:p>
    <w:p>
      <w:pPr>
        <w:pStyle w:val="5"/>
        <w:spacing w:before="9"/>
        <w:rPr>
          <w:sz w:val="20"/>
        </w:rPr>
      </w:pPr>
    </w:p>
    <w:p>
      <w:pPr>
        <w:pStyle w:val="5"/>
        <w:spacing w:line="417" w:lineRule="auto"/>
        <w:ind w:left="275" w:right="308" w:firstLine="6302" w:firstLineChars="2251"/>
      </w:pPr>
      <w:r>
        <w:rPr>
          <w:rFonts w:ascii="Times New Roman" w:eastAsia="Times New Roman"/>
        </w:rPr>
        <w:t xml:space="preserve">2019 </w:t>
      </w:r>
      <w:r>
        <w:t xml:space="preserve">年 </w:t>
      </w:r>
      <w:r>
        <w:rPr>
          <w:rFonts w:ascii="Times New Roman" w:eastAsia="Times New Roman"/>
        </w:rPr>
        <w:t xml:space="preserve">11 </w:t>
      </w:r>
      <w:r>
        <w:t xml:space="preserve">月 </w:t>
      </w:r>
      <w:r>
        <w:rPr>
          <w:rFonts w:ascii="Times New Roman" w:eastAsia="Times New Roman"/>
        </w:rPr>
        <w:t xml:space="preserve">23 </w:t>
      </w:r>
      <w:r>
        <w:t>日</w:t>
      </w:r>
    </w:p>
    <w:sectPr>
      <w:pgSz w:w="11910" w:h="16840"/>
      <w:pgMar w:top="850" w:right="850" w:bottom="850" w:left="850" w:header="720" w:footer="720" w:gutter="0"/>
      <w:cols w:equalWidth="0" w:num="1">
        <w:col w:w="10110"/>
      </w:cols>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26B8CA"/>
    <w:multiLevelType w:val="singleLevel"/>
    <w:tmpl w:val="E926B8C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707B98"/>
    <w:rsid w:val="629C5316"/>
    <w:rsid w:val="6B1D5307"/>
    <w:rsid w:val="759F1B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qFormat/>
    <w:uiPriority w:val="1"/>
    <w:pPr>
      <w:spacing w:before="34"/>
      <w:ind w:left="1598" w:right="1404"/>
      <w:jc w:val="center"/>
      <w:outlineLvl w:val="1"/>
    </w:pPr>
    <w:rPr>
      <w:rFonts w:ascii="黑体" w:hAnsi="黑体" w:eastAsia="黑体" w:cs="黑体"/>
      <w:b/>
      <w:bCs/>
      <w:sz w:val="32"/>
      <w:szCs w:val="32"/>
      <w:lang w:val="zh-CN" w:eastAsia="zh-CN" w:bidi="zh-CN"/>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4">
    <w:name w:val="annotation text"/>
    <w:basedOn w:val="1"/>
    <w:qFormat/>
    <w:uiPriority w:val="0"/>
    <w:pPr>
      <w:jc w:val="left"/>
    </w:pPr>
  </w:style>
  <w:style w:type="paragraph" w:styleId="5">
    <w:name w:val="Body Text"/>
    <w:basedOn w:val="1"/>
    <w:qFormat/>
    <w:uiPriority w:val="1"/>
    <w:rPr>
      <w:rFonts w:ascii="宋体" w:hAnsi="宋体" w:eastAsia="宋体" w:cs="宋体"/>
      <w:sz w:val="28"/>
      <w:szCs w:val="28"/>
      <w:lang w:val="zh-CN" w:eastAsia="zh-CN" w:bidi="zh-CN"/>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line="358" w:lineRule="exact"/>
      <w:ind w:left="1539" w:hanging="703"/>
    </w:pPr>
    <w:rPr>
      <w:rFonts w:ascii="宋体" w:hAnsi="宋体" w:eastAsia="宋体" w:cs="宋体"/>
      <w:lang w:val="zh-CN" w:eastAsia="zh-CN" w:bidi="zh-CN"/>
    </w:rPr>
  </w:style>
  <w:style w:type="paragraph" w:customStyle="1" w:styleId="10">
    <w:name w:val="Table Paragraph"/>
    <w:basedOn w:val="1"/>
    <w:qFormat/>
    <w:uiPriority w:val="1"/>
    <w:pPr>
      <w:ind w:left="97"/>
      <w:jc w:val="center"/>
    </w:pPr>
    <w:rPr>
      <w:rFonts w:ascii="Times New Roman" w:hAnsi="Times New Roman" w:eastAsia="Times New Roman" w:cs="Times New Roman"/>
      <w:lang w:val="zh-CN" w:eastAsia="zh-CN" w:bidi="zh-CN"/>
    </w:rPr>
  </w:style>
  <w:style w:type="paragraph" w:customStyle="1" w:styleId="11">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ScaleCrop>false</ScaleCrop>
  <LinksUpToDate>false</LinksUpToDate>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2019-11-28T07:49:00Z</dcterms:created>
  <dc:creator>Administrator</dc:creator>
  <cp:lastModifiedBy>开心就好</cp:lastModifiedBy>
  <dcterms:modified xsi:type="dcterms:W3CDTF">2020-01-15T03:15:23Z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2019-11-24T00:00:00Z</vt:filetime>
  </property>
  <property fmtid="{D5CDD505-2E9C-101B-9397-08002B2CF9AE}" pid="3" name="Creator">
    <vt:lpwstr>WPS 文字</vt:lpwstr>
  </property>
  <property fmtid="{D5CDD505-2E9C-101B-9397-08002B2CF9AE}" pid="4" name="LastSaved">
    <vt:filetime>2019-11-28T00:00:00Z</vt:filetime>
  </property>
  <property fmtid="{D5CDD505-2E9C-101B-9397-08002B2CF9AE}" pid="5" name="KSOProductBuildVer">
    <vt:lpwstr>2052-11.1.0.9305</vt:lpwstr>
  </property>
</Properties>
</file>