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聊城普瑞林特包装有限公司年产100万只塑料桶改建项目（一期）</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11</w:t>
      </w:r>
      <w:r>
        <w:rPr>
          <w:rFonts w:hint="eastAsia" w:ascii="楷体" w:hAnsi="楷体" w:eastAsia="楷体" w:cs="楷体"/>
          <w:sz w:val="28"/>
          <w:szCs w:val="28"/>
        </w:rPr>
        <w:t>日，</w:t>
      </w:r>
      <w:r>
        <w:rPr>
          <w:rFonts w:hint="eastAsia" w:ascii="楷体" w:hAnsi="楷体" w:eastAsia="楷体" w:cs="楷体"/>
          <w:sz w:val="28"/>
          <w:szCs w:val="28"/>
          <w:lang w:eastAsia="zh-CN"/>
        </w:rPr>
        <w:t>聊城普瑞林特包装有限公司</w:t>
      </w:r>
      <w:r>
        <w:rPr>
          <w:rFonts w:hint="eastAsia" w:ascii="楷体" w:hAnsi="楷体" w:eastAsia="楷体" w:cs="楷体"/>
          <w:sz w:val="28"/>
          <w:szCs w:val="28"/>
        </w:rPr>
        <w:t>组织召开公司</w:t>
      </w:r>
      <w:r>
        <w:rPr>
          <w:rFonts w:hint="eastAsia" w:ascii="楷体" w:hAnsi="楷体" w:eastAsia="楷体" w:cs="楷体"/>
          <w:sz w:val="28"/>
          <w:szCs w:val="28"/>
          <w:lang w:eastAsia="zh-CN"/>
        </w:rPr>
        <w:t>年产10</w:t>
      </w:r>
      <w:r>
        <w:rPr>
          <w:rFonts w:hint="eastAsia" w:ascii="楷体" w:hAnsi="楷体" w:eastAsia="楷体" w:cs="楷体"/>
          <w:sz w:val="28"/>
          <w:szCs w:val="28"/>
          <w:lang w:val="en-US" w:eastAsia="zh-CN"/>
        </w:rPr>
        <w:t>0</w:t>
      </w:r>
      <w:r>
        <w:rPr>
          <w:rFonts w:hint="eastAsia" w:ascii="楷体" w:hAnsi="楷体" w:eastAsia="楷体" w:cs="楷体"/>
          <w:sz w:val="28"/>
          <w:szCs w:val="28"/>
          <w:lang w:eastAsia="zh-CN"/>
        </w:rPr>
        <w:t>万只塑料桶改建项目（一期）</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聊城普瑞林特包装有限公司</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w:t>
      </w:r>
      <w:r>
        <w:rPr>
          <w:rFonts w:hint="eastAsia" w:ascii="楷体" w:hAnsi="楷体" w:eastAsia="楷体" w:cs="楷体"/>
          <w:sz w:val="28"/>
          <w:szCs w:val="28"/>
          <w:lang w:val="en-US" w:eastAsia="zh-CN"/>
        </w:rPr>
        <w:t>2</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聊城市经济开发区开发区中华路。</w:t>
      </w:r>
      <w:r>
        <w:rPr>
          <w:rFonts w:hint="eastAsia" w:ascii="楷体" w:hAnsi="楷体" w:eastAsia="楷体" w:cs="楷体"/>
          <w:sz w:val="28"/>
          <w:szCs w:val="28"/>
        </w:rPr>
        <w:t>主要为</w:t>
      </w:r>
      <w:r>
        <w:rPr>
          <w:rFonts w:hint="eastAsia" w:ascii="楷体" w:hAnsi="楷体" w:eastAsia="楷体" w:cs="楷体"/>
          <w:sz w:val="28"/>
          <w:szCs w:val="28"/>
          <w:lang w:eastAsia="zh-CN"/>
        </w:rPr>
        <w:t>年产</w:t>
      </w:r>
      <w:r>
        <w:rPr>
          <w:rFonts w:hint="eastAsia" w:ascii="楷体" w:hAnsi="楷体" w:eastAsia="楷体" w:cs="楷体"/>
          <w:sz w:val="28"/>
          <w:szCs w:val="28"/>
          <w:lang w:val="en-US" w:eastAsia="zh-CN"/>
        </w:rPr>
        <w:t>70</w:t>
      </w:r>
      <w:r>
        <w:rPr>
          <w:rFonts w:hint="eastAsia" w:ascii="楷体" w:hAnsi="楷体" w:eastAsia="楷体" w:cs="楷体"/>
          <w:sz w:val="28"/>
          <w:szCs w:val="28"/>
          <w:lang w:eastAsia="zh-CN"/>
        </w:rPr>
        <w:t>万只塑料桶改建项目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15</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300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注塑机、吹瓶</w:t>
      </w:r>
      <w:bookmarkStart w:id="0" w:name="_GoBack"/>
      <w:bookmarkEnd w:id="0"/>
      <w:r>
        <w:rPr>
          <w:rFonts w:hint="eastAsia" w:ascii="楷体" w:hAnsi="楷体" w:eastAsia="楷体" w:cs="楷体"/>
          <w:sz w:val="28"/>
          <w:szCs w:val="28"/>
          <w:lang w:eastAsia="zh-CN"/>
        </w:rPr>
        <w:t>机</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本项目为改扩建项目，原有项目于</w:t>
      </w:r>
      <w:r>
        <w:rPr>
          <w:rFonts w:hint="default" w:ascii="楷体" w:hAnsi="楷体" w:eastAsia="楷体" w:cs="楷体"/>
          <w:sz w:val="28"/>
          <w:szCs w:val="28"/>
          <w:lang w:eastAsia="zh-CN"/>
        </w:rPr>
        <w:t>20</w:t>
      </w:r>
      <w:r>
        <w:rPr>
          <w:rFonts w:hint="eastAsia" w:ascii="楷体" w:hAnsi="楷体" w:eastAsia="楷体" w:cs="楷体"/>
          <w:sz w:val="28"/>
          <w:szCs w:val="28"/>
          <w:lang w:val="en-US" w:eastAsia="zh-CN"/>
        </w:rPr>
        <w:t>07</w:t>
      </w:r>
      <w:r>
        <w:rPr>
          <w:rFonts w:hint="default" w:ascii="楷体" w:hAnsi="楷体" w:eastAsia="楷体" w:cs="楷体"/>
          <w:sz w:val="28"/>
          <w:szCs w:val="28"/>
          <w:lang w:eastAsia="zh-CN"/>
        </w:rPr>
        <w:t>年1</w:t>
      </w:r>
      <w:r>
        <w:rPr>
          <w:rFonts w:hint="eastAsia" w:ascii="楷体" w:hAnsi="楷体" w:eastAsia="楷体" w:cs="楷体"/>
          <w:sz w:val="28"/>
          <w:szCs w:val="28"/>
          <w:lang w:val="en-US" w:eastAsia="zh-CN"/>
        </w:rPr>
        <w:t>2</w:t>
      </w:r>
      <w:r>
        <w:rPr>
          <w:rFonts w:hint="default" w:ascii="楷体" w:hAnsi="楷体" w:eastAsia="楷体" w:cs="楷体"/>
          <w:sz w:val="28"/>
          <w:szCs w:val="28"/>
          <w:lang w:eastAsia="zh-CN"/>
        </w:rPr>
        <w:t>月进行了《</w:t>
      </w:r>
      <w:r>
        <w:rPr>
          <w:rFonts w:hint="eastAsia" w:ascii="楷体" w:hAnsi="楷体" w:eastAsia="楷体" w:cs="楷体"/>
          <w:sz w:val="28"/>
          <w:szCs w:val="28"/>
          <w:lang w:eastAsia="zh-CN"/>
        </w:rPr>
        <w:t>聊城市开发区普瑞林特包装有限公司年产</w:t>
      </w:r>
      <w:r>
        <w:rPr>
          <w:rFonts w:hint="eastAsia" w:ascii="楷体" w:hAnsi="楷体" w:eastAsia="楷体" w:cs="楷体"/>
          <w:sz w:val="28"/>
          <w:szCs w:val="28"/>
          <w:lang w:val="en-US" w:eastAsia="zh-CN"/>
        </w:rPr>
        <w:t>100万只塑料桶新建项目</w:t>
      </w:r>
      <w:r>
        <w:rPr>
          <w:rFonts w:hint="default" w:ascii="楷体" w:hAnsi="楷体" w:eastAsia="楷体" w:cs="楷体"/>
          <w:sz w:val="28"/>
          <w:szCs w:val="28"/>
          <w:lang w:eastAsia="zh-CN"/>
        </w:rPr>
        <w:t>》环境影响评价工作，</w:t>
      </w:r>
      <w:r>
        <w:rPr>
          <w:rFonts w:hint="eastAsia" w:ascii="楷体" w:hAnsi="楷体" w:eastAsia="楷体" w:cs="楷体"/>
          <w:sz w:val="28"/>
          <w:szCs w:val="28"/>
          <w:lang w:val="en-US" w:eastAsia="zh-CN"/>
        </w:rPr>
        <w:t>2008年1月3日、2009年7月23日，聊城市环境保护局经济开发区分局对该项目进行了审批及验收，批复意见【聊开环管（2007）19号】、验收意见【聊开环验（2009）7号】。</w:t>
      </w:r>
      <w:r>
        <w:rPr>
          <w:rFonts w:hint="eastAsia" w:ascii="楷体" w:hAnsi="楷体" w:eastAsia="楷体" w:cs="楷体"/>
          <w:sz w:val="28"/>
          <w:szCs w:val="28"/>
        </w:rPr>
        <w:t>201</w:t>
      </w:r>
      <w:r>
        <w:rPr>
          <w:rFonts w:hint="eastAsia" w:ascii="楷体" w:hAnsi="楷体" w:eastAsia="楷体" w:cs="楷体"/>
          <w:sz w:val="28"/>
          <w:szCs w:val="28"/>
          <w:lang w:val="en-US" w:eastAsia="zh-CN"/>
        </w:rPr>
        <w:t>8</w:t>
      </w:r>
      <w:r>
        <w:rPr>
          <w:rFonts w:hint="eastAsia" w:ascii="楷体" w:hAnsi="楷体" w:eastAsia="楷体" w:cs="楷体"/>
          <w:sz w:val="28"/>
          <w:szCs w:val="28"/>
        </w:rPr>
        <w:t>年</w:t>
      </w:r>
      <w:r>
        <w:rPr>
          <w:rFonts w:hint="eastAsia" w:ascii="楷体" w:hAnsi="楷体" w:eastAsia="楷体" w:cs="楷体"/>
          <w:sz w:val="28"/>
          <w:szCs w:val="28"/>
          <w:lang w:val="en-US" w:eastAsia="zh-CN"/>
        </w:rPr>
        <w:t>3</w:t>
      </w:r>
      <w:r>
        <w:rPr>
          <w:rFonts w:hint="eastAsia" w:ascii="楷体" w:hAnsi="楷体" w:eastAsia="楷体" w:cs="楷体"/>
          <w:sz w:val="28"/>
          <w:szCs w:val="28"/>
        </w:rPr>
        <w:t>月</w:t>
      </w:r>
      <w:r>
        <w:rPr>
          <w:rFonts w:hint="eastAsia" w:ascii="楷体" w:hAnsi="楷体" w:eastAsia="楷体" w:cs="楷体"/>
          <w:sz w:val="28"/>
          <w:szCs w:val="28"/>
          <w:lang w:eastAsia="zh-CN"/>
        </w:rPr>
        <w:t>聊城普瑞林特包装有限公司</w:t>
      </w:r>
      <w:r>
        <w:rPr>
          <w:rFonts w:hint="eastAsia" w:ascii="楷体" w:hAnsi="楷体" w:eastAsia="楷体" w:cs="楷体"/>
          <w:sz w:val="28"/>
          <w:szCs w:val="28"/>
        </w:rPr>
        <w:t>委托</w:t>
      </w:r>
      <w:r>
        <w:rPr>
          <w:rFonts w:hint="eastAsia" w:ascii="楷体" w:hAnsi="楷体" w:eastAsia="楷体" w:cs="楷体"/>
          <w:sz w:val="28"/>
          <w:szCs w:val="28"/>
          <w:lang w:eastAsia="zh-CN"/>
        </w:rPr>
        <w:t>青岛洁瑞环保技术服务有限公司</w:t>
      </w:r>
      <w:r>
        <w:rPr>
          <w:rFonts w:hint="eastAsia" w:ascii="楷体" w:hAnsi="楷体" w:eastAsia="楷体" w:cs="楷体"/>
          <w:sz w:val="28"/>
          <w:szCs w:val="28"/>
        </w:rPr>
        <w:t>编制了《</w:t>
      </w:r>
      <w:r>
        <w:rPr>
          <w:rFonts w:hint="eastAsia" w:ascii="楷体" w:hAnsi="楷体" w:eastAsia="楷体" w:cs="楷体"/>
          <w:sz w:val="28"/>
          <w:szCs w:val="28"/>
          <w:lang w:eastAsia="zh-CN"/>
        </w:rPr>
        <w:t>聊城普瑞林特包装有限公司年产100万只塑料桶改建项目</w:t>
      </w:r>
      <w:r>
        <w:rPr>
          <w:rFonts w:hint="eastAsia" w:ascii="楷体" w:hAnsi="楷体" w:eastAsia="楷体" w:cs="楷体"/>
          <w:sz w:val="28"/>
          <w:szCs w:val="28"/>
        </w:rPr>
        <w:t>环境影响报告表》，201</w:t>
      </w:r>
      <w:r>
        <w:rPr>
          <w:rFonts w:hint="eastAsia" w:ascii="楷体" w:hAnsi="楷体" w:eastAsia="楷体" w:cs="楷体"/>
          <w:sz w:val="28"/>
          <w:szCs w:val="28"/>
          <w:lang w:val="en-US" w:eastAsia="zh-CN"/>
        </w:rPr>
        <w:t>8</w:t>
      </w:r>
      <w:r>
        <w:rPr>
          <w:rFonts w:hint="eastAsia" w:ascii="楷体" w:hAnsi="楷体" w:eastAsia="楷体" w:cs="楷体"/>
          <w:sz w:val="28"/>
          <w:szCs w:val="28"/>
        </w:rPr>
        <w:t>年</w:t>
      </w:r>
      <w:r>
        <w:rPr>
          <w:rFonts w:hint="eastAsia" w:ascii="楷体" w:hAnsi="楷体" w:eastAsia="楷体" w:cs="楷体"/>
          <w:sz w:val="28"/>
          <w:szCs w:val="28"/>
          <w:lang w:val="en-US" w:eastAsia="zh-CN"/>
        </w:rPr>
        <w:t>6</w:t>
      </w:r>
      <w:r>
        <w:rPr>
          <w:rFonts w:hint="eastAsia" w:ascii="楷体" w:hAnsi="楷体" w:eastAsia="楷体" w:cs="楷体"/>
          <w:sz w:val="28"/>
          <w:szCs w:val="28"/>
        </w:rPr>
        <w:t>月</w:t>
      </w:r>
      <w:r>
        <w:rPr>
          <w:rFonts w:hint="eastAsia" w:ascii="楷体" w:hAnsi="楷体" w:eastAsia="楷体" w:cs="楷体"/>
          <w:sz w:val="28"/>
          <w:szCs w:val="28"/>
          <w:lang w:val="en-US" w:eastAsia="zh-CN"/>
        </w:rPr>
        <w:t>22</w:t>
      </w:r>
      <w:r>
        <w:rPr>
          <w:rFonts w:hint="eastAsia" w:ascii="楷体" w:hAnsi="楷体" w:eastAsia="楷体" w:cs="楷体"/>
          <w:sz w:val="28"/>
          <w:szCs w:val="28"/>
        </w:rPr>
        <w:t>日</w:t>
      </w:r>
      <w:r>
        <w:rPr>
          <w:rFonts w:hint="eastAsia" w:ascii="楷体" w:hAnsi="楷体" w:eastAsia="楷体" w:cs="楷体"/>
          <w:sz w:val="28"/>
          <w:szCs w:val="28"/>
          <w:lang w:eastAsia="zh-CN"/>
        </w:rPr>
        <w:t>聊城市环境保护局经济技术开发区分局</w:t>
      </w:r>
      <w:r>
        <w:rPr>
          <w:rFonts w:hint="eastAsia" w:ascii="楷体" w:hAnsi="楷体" w:eastAsia="楷体" w:cs="楷体"/>
          <w:sz w:val="28"/>
          <w:szCs w:val="28"/>
        </w:rPr>
        <w:t>以</w:t>
      </w:r>
      <w:r>
        <w:rPr>
          <w:rFonts w:hint="eastAsia" w:ascii="楷体" w:hAnsi="楷体" w:eastAsia="楷体" w:cs="楷体"/>
          <w:sz w:val="28"/>
          <w:szCs w:val="28"/>
          <w:lang w:eastAsia="zh-CN"/>
        </w:rPr>
        <w:t>聊开环报告表[2018]42号</w:t>
      </w:r>
      <w:r>
        <w:rPr>
          <w:rFonts w:hint="eastAsia" w:ascii="楷体" w:hAnsi="楷体" w:eastAsia="楷体" w:cs="楷体"/>
          <w:sz w:val="28"/>
          <w:szCs w:val="28"/>
        </w:rPr>
        <w:t>对其进行了审批。2018年</w:t>
      </w:r>
      <w:r>
        <w:rPr>
          <w:rFonts w:hint="eastAsia" w:ascii="楷体" w:hAnsi="楷体" w:eastAsia="楷体" w:cs="楷体"/>
          <w:sz w:val="28"/>
          <w:szCs w:val="28"/>
          <w:lang w:val="en-US" w:eastAsia="zh-CN"/>
        </w:rPr>
        <w:t>7</w:t>
      </w:r>
      <w:r>
        <w:rPr>
          <w:rFonts w:hint="eastAsia" w:ascii="楷体" w:hAnsi="楷体" w:eastAsia="楷体" w:cs="楷体"/>
          <w:sz w:val="28"/>
          <w:szCs w:val="28"/>
        </w:rPr>
        <w:t>月份公司委托</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进行该项目的环保验收监测工作，接受委托后</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组织有关技术人员进行现场踏勘，依据监测技术规范制定了环保验收监测方案，并于2018年</w:t>
      </w:r>
      <w:r>
        <w:rPr>
          <w:rFonts w:hint="eastAsia" w:ascii="楷体" w:hAnsi="楷体" w:eastAsia="楷体" w:cs="楷体"/>
          <w:sz w:val="28"/>
          <w:szCs w:val="28"/>
          <w:lang w:val="en-US" w:eastAsia="zh-CN"/>
        </w:rPr>
        <w:t>7月20日-23日（本项目两个车间距离较远，7月20日-21日对一车间进行监测，7月22日-23日对二车间进行监测）</w:t>
      </w:r>
      <w:r>
        <w:rPr>
          <w:rFonts w:hint="eastAsia" w:ascii="楷体" w:hAnsi="楷体" w:eastAsia="楷体" w:cs="楷体"/>
          <w:sz w:val="28"/>
          <w:szCs w:val="28"/>
        </w:rPr>
        <w:t>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15</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5</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33.3</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年产</w:t>
      </w:r>
      <w:r>
        <w:rPr>
          <w:rFonts w:hint="eastAsia" w:ascii="楷体" w:hAnsi="楷体" w:eastAsia="楷体" w:cs="楷体"/>
          <w:sz w:val="28"/>
          <w:szCs w:val="28"/>
          <w:lang w:val="en-US" w:eastAsia="zh-CN"/>
        </w:rPr>
        <w:t>70</w:t>
      </w:r>
      <w:r>
        <w:rPr>
          <w:rFonts w:hint="eastAsia" w:ascii="楷体" w:hAnsi="楷体" w:eastAsia="楷体" w:cs="楷体"/>
          <w:sz w:val="28"/>
          <w:szCs w:val="28"/>
          <w:lang w:eastAsia="zh-CN"/>
        </w:rPr>
        <w:t>万只塑料桶改建项目（一期）</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548" w:firstLineChars="196"/>
        <w:rPr>
          <w:rFonts w:ascii="楷体" w:hAnsi="楷体" w:eastAsia="楷体" w:cs="楷体"/>
          <w:sz w:val="28"/>
          <w:szCs w:val="28"/>
        </w:rPr>
      </w:pPr>
      <w:r>
        <w:rPr>
          <w:rFonts w:hint="eastAsia" w:ascii="楷体" w:hAnsi="楷体" w:eastAsia="楷体" w:cs="楷体"/>
          <w:sz w:val="28"/>
          <w:szCs w:val="28"/>
        </w:rPr>
        <w:t>经现场验收核查，本</w:t>
      </w:r>
      <w:r>
        <w:rPr>
          <w:rFonts w:hint="eastAsia" w:ascii="楷体" w:hAnsi="楷体" w:eastAsia="楷体" w:cs="楷体"/>
          <w:sz w:val="28"/>
          <w:szCs w:val="28"/>
          <w:lang w:val="en-US" w:eastAsia="zh-CN"/>
        </w:rPr>
        <w:t>项目实际比环评减少了四台注塑机和一台粉碎机，一台印盖机报废。其中注塑机为主要生产设备，所以本次为一期验收，验收内容为年产70万只塑料桶改建项目（一期）及其配套环保设施。</w:t>
      </w:r>
    </w:p>
    <w:p>
      <w:pPr>
        <w:pStyle w:val="12"/>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2"/>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本项目</w:t>
      </w:r>
      <w:r>
        <w:rPr>
          <w:rFonts w:hint="default" w:ascii="楷体" w:hAnsi="楷体" w:eastAsia="楷体" w:cs="楷体"/>
          <w:sz w:val="28"/>
          <w:szCs w:val="28"/>
          <w:lang w:val="en-US" w:eastAsia="zh-CN"/>
        </w:rPr>
        <w:t>无生产废水</w:t>
      </w:r>
      <w:r>
        <w:rPr>
          <w:rFonts w:hint="eastAsia" w:ascii="楷体" w:hAnsi="楷体" w:eastAsia="楷体" w:cs="楷体"/>
          <w:sz w:val="28"/>
          <w:szCs w:val="28"/>
          <w:lang w:val="en-US" w:eastAsia="zh-CN"/>
        </w:rPr>
        <w:t>；废水主要为生活污水。生活污水</w:t>
      </w:r>
      <w:r>
        <w:rPr>
          <w:rFonts w:hint="default" w:ascii="楷体" w:hAnsi="楷体" w:eastAsia="楷体" w:cs="楷体"/>
          <w:sz w:val="28"/>
          <w:szCs w:val="28"/>
          <w:lang w:val="en-US" w:eastAsia="zh-CN"/>
        </w:rPr>
        <w:t>经</w:t>
      </w:r>
      <w:r>
        <w:rPr>
          <w:rFonts w:hint="eastAsia" w:ascii="楷体" w:hAnsi="楷体" w:eastAsia="楷体" w:cs="楷体"/>
          <w:sz w:val="28"/>
          <w:szCs w:val="28"/>
          <w:lang w:val="en-US" w:eastAsia="zh-CN"/>
        </w:rPr>
        <w:t>厂区厕所收集后</w:t>
      </w:r>
      <w:r>
        <w:rPr>
          <w:rFonts w:hint="default" w:ascii="楷体" w:hAnsi="楷体" w:eastAsia="楷体" w:cs="楷体"/>
          <w:sz w:val="28"/>
          <w:szCs w:val="28"/>
          <w:lang w:val="en-US" w:eastAsia="zh-CN"/>
        </w:rPr>
        <w:t>定期清掏，</w:t>
      </w:r>
      <w:r>
        <w:rPr>
          <w:rFonts w:hint="eastAsia" w:ascii="楷体" w:hAnsi="楷体" w:eastAsia="楷体" w:cs="楷体"/>
          <w:sz w:val="28"/>
          <w:szCs w:val="28"/>
          <w:lang w:val="en-US" w:eastAsia="zh-CN"/>
        </w:rPr>
        <w:t>不外排</w:t>
      </w:r>
      <w:r>
        <w:rPr>
          <w:rFonts w:hint="default" w:ascii="楷体" w:hAnsi="楷体" w:eastAsia="楷体" w:cs="楷体"/>
          <w:sz w:val="28"/>
          <w:szCs w:val="28"/>
          <w:lang w:val="en-US" w:eastAsia="zh-CN"/>
        </w:rPr>
        <w:t>。</w:t>
      </w:r>
    </w:p>
    <w:p>
      <w:pPr>
        <w:widowControl/>
        <w:spacing w:line="360" w:lineRule="auto"/>
        <w:ind w:firstLine="420" w:firstLineChars="150"/>
        <w:jc w:val="left"/>
        <w:rPr>
          <w:rFonts w:hint="eastAsia" w:ascii="楷体" w:hAnsi="楷体" w:eastAsia="楷体" w:cs="楷体"/>
          <w:sz w:val="28"/>
          <w:szCs w:val="28"/>
        </w:rPr>
      </w:pP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废气主要为注塑及吹塑热熔过程产生的有机废气VOCs（以非甲烷总烃计）、印盖过程油墨挥发产生的有机废气VOCs（以非甲烷总烃计）以及不合格品粉碎过程产生的少量颗粒物。</w:t>
      </w:r>
    </w:p>
    <w:p>
      <w:pPr>
        <w:widowControl/>
        <w:spacing w:line="360" w:lineRule="auto"/>
        <w:ind w:firstLine="420" w:firstLineChars="150"/>
        <w:jc w:val="left"/>
        <w:rPr>
          <w:rFonts w:hint="default" w:ascii="楷体" w:hAnsi="楷体" w:eastAsia="楷体" w:cs="楷体"/>
          <w:sz w:val="28"/>
          <w:szCs w:val="28"/>
          <w:lang w:val="en-US" w:eastAsia="zh-CN"/>
        </w:rPr>
      </w:pPr>
      <w:r>
        <w:rPr>
          <w:rFonts w:hint="eastAsia" w:ascii="楷体" w:hAnsi="楷体" w:eastAsia="楷体" w:cs="楷体"/>
          <w:sz w:val="28"/>
          <w:szCs w:val="28"/>
          <w:lang w:val="en-US" w:eastAsia="zh-CN"/>
        </w:rPr>
        <w:t>（1）注塑、印盖过程产生的VOCs（以非甲烷总烃计）：</w:t>
      </w:r>
      <w:r>
        <w:rPr>
          <w:rFonts w:hint="default" w:ascii="楷体" w:hAnsi="楷体" w:eastAsia="楷体" w:cs="楷体"/>
          <w:sz w:val="28"/>
          <w:szCs w:val="28"/>
          <w:lang w:val="en-US" w:eastAsia="zh-CN"/>
        </w:rPr>
        <w:t>经集气罩、UV光氧光催化空气净化器收集处理后经1#排气筒有组织排放</w:t>
      </w:r>
      <w:r>
        <w:rPr>
          <w:rFonts w:hint="eastAsia" w:ascii="楷体" w:hAnsi="楷体" w:eastAsia="楷体" w:cs="楷体"/>
          <w:sz w:val="28"/>
          <w:szCs w:val="28"/>
          <w:lang w:val="en-US" w:eastAsia="zh-CN"/>
        </w:rPr>
        <w:t>。</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w:t>
      </w:r>
      <w:r>
        <w:rPr>
          <w:rFonts w:hint="default" w:ascii="楷体" w:hAnsi="楷体" w:eastAsia="楷体" w:cs="楷体"/>
          <w:sz w:val="28"/>
          <w:szCs w:val="28"/>
          <w:lang w:val="en-US" w:eastAsia="zh-CN"/>
        </w:rPr>
        <w:t>吹塑</w:t>
      </w:r>
      <w:r>
        <w:rPr>
          <w:rFonts w:hint="eastAsia" w:ascii="楷体" w:hAnsi="楷体" w:eastAsia="楷体" w:cs="楷体"/>
          <w:sz w:val="28"/>
          <w:szCs w:val="28"/>
          <w:lang w:val="en-US" w:eastAsia="zh-CN"/>
        </w:rPr>
        <w:t>工序产生的</w:t>
      </w:r>
      <w:r>
        <w:rPr>
          <w:rFonts w:hint="default" w:ascii="楷体" w:hAnsi="楷体" w:eastAsia="楷体" w:cs="楷体"/>
          <w:sz w:val="28"/>
          <w:szCs w:val="28"/>
          <w:lang w:val="en-US" w:eastAsia="zh-CN"/>
        </w:rPr>
        <w:t>VOCs</w:t>
      </w:r>
      <w:r>
        <w:rPr>
          <w:rFonts w:hint="eastAsia" w:ascii="楷体" w:hAnsi="楷体" w:eastAsia="楷体" w:cs="楷体"/>
          <w:sz w:val="28"/>
          <w:szCs w:val="28"/>
          <w:lang w:val="en-US" w:eastAsia="zh-CN"/>
        </w:rPr>
        <w:t>（以非甲烷总烃计）：</w:t>
      </w:r>
      <w:r>
        <w:rPr>
          <w:rFonts w:hint="default" w:ascii="楷体" w:hAnsi="楷体" w:eastAsia="楷体" w:cs="楷体"/>
          <w:sz w:val="28"/>
          <w:szCs w:val="28"/>
          <w:lang w:val="en-US" w:eastAsia="zh-CN"/>
        </w:rPr>
        <w:t>经集气罩、UV光氧光催化空气净化器收集处理后经2#排气筒有组织排放</w:t>
      </w:r>
      <w:r>
        <w:rPr>
          <w:rFonts w:hint="eastAsia" w:ascii="楷体" w:hAnsi="楷体" w:eastAsia="楷体" w:cs="楷体"/>
          <w:sz w:val="28"/>
          <w:szCs w:val="28"/>
          <w:lang w:val="en-US" w:eastAsia="zh-CN"/>
        </w:rPr>
        <w:t>。</w:t>
      </w:r>
    </w:p>
    <w:p>
      <w:pPr>
        <w:widowControl/>
        <w:spacing w:line="360" w:lineRule="auto"/>
        <w:ind w:firstLine="420" w:firstLineChars="150"/>
        <w:jc w:val="left"/>
        <w:rPr>
          <w:rFonts w:hint="default" w:ascii="楷体" w:hAnsi="楷体" w:eastAsia="楷体" w:cs="楷体"/>
          <w:sz w:val="28"/>
          <w:szCs w:val="28"/>
          <w:lang w:val="en-US" w:eastAsia="zh-CN"/>
        </w:rPr>
      </w:pPr>
      <w:r>
        <w:rPr>
          <w:rFonts w:hint="eastAsia" w:ascii="楷体" w:hAnsi="楷体" w:eastAsia="楷体" w:cs="楷体"/>
          <w:sz w:val="28"/>
          <w:szCs w:val="28"/>
          <w:lang w:val="en-US" w:eastAsia="zh-CN"/>
        </w:rPr>
        <w:t>（3）</w:t>
      </w:r>
      <w:r>
        <w:rPr>
          <w:rFonts w:hint="default" w:ascii="楷体" w:hAnsi="楷体" w:eastAsia="楷体" w:cs="楷体"/>
          <w:sz w:val="28"/>
          <w:szCs w:val="28"/>
          <w:lang w:val="en-US" w:eastAsia="zh-CN"/>
        </w:rPr>
        <w:t>粉碎</w:t>
      </w:r>
      <w:r>
        <w:rPr>
          <w:rFonts w:hint="eastAsia" w:ascii="楷体" w:hAnsi="楷体" w:eastAsia="楷体" w:cs="楷体"/>
          <w:sz w:val="28"/>
          <w:szCs w:val="28"/>
          <w:lang w:val="en-US" w:eastAsia="zh-CN"/>
        </w:rPr>
        <w:t>过程产生的</w:t>
      </w:r>
      <w:r>
        <w:rPr>
          <w:rFonts w:hint="default" w:ascii="楷体" w:hAnsi="楷体" w:eastAsia="楷体" w:cs="楷体"/>
          <w:sz w:val="28"/>
          <w:szCs w:val="28"/>
          <w:lang w:val="en-US" w:eastAsia="zh-CN"/>
        </w:rPr>
        <w:t>颗粒物</w:t>
      </w:r>
      <w:r>
        <w:rPr>
          <w:rFonts w:hint="eastAsia" w:ascii="楷体" w:hAnsi="楷体" w:eastAsia="楷体" w:cs="楷体"/>
          <w:sz w:val="28"/>
          <w:szCs w:val="28"/>
          <w:lang w:val="en-US" w:eastAsia="zh-CN"/>
        </w:rPr>
        <w:t>：经加强车间通风后无组织排放。</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项目主要噪声源为注塑机、粉碎机、吹瓶机、空气压缩机等设备产生的噪声，通过将产噪设备布置在车间内，使用隔声门窗，对固定产振设备设置减震机座等有效的降噪措施能达到较好的效果。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pStyle w:val="17"/>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w:t>
      </w:r>
      <w:r>
        <w:rPr>
          <w:rFonts w:hint="eastAsia" w:ascii="楷体" w:hAnsi="楷体" w:eastAsia="楷体" w:cs="楷体"/>
          <w:kern w:val="2"/>
          <w:sz w:val="28"/>
          <w:szCs w:val="28"/>
          <w:lang w:val="en-US" w:eastAsia="zh-CN" w:bidi="ar-SA"/>
        </w:rPr>
        <w:t>项目固废主要为不合格品粉碎产生的下脚料，烫金纸印制过程产生的废烫金纸，PET、PT、油墨等原料废包装材料，光氧设备废灯管以及职工办公、生活产生的生活垃圾。</w:t>
      </w:r>
    </w:p>
    <w:p>
      <w:pPr>
        <w:widowControl/>
        <w:spacing w:line="360" w:lineRule="auto"/>
        <w:ind w:firstLine="700" w:firstLineChars="2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其中，不合格品粉碎下脚料收集后外卖物资公司回收利用；烫金纸印制过程废烫金纸收集后外卖物资公司回收利用；PET、油墨等废包装材料收集后由生产厂家回收、利用；光解设备废灯管收集后委托相关资质单位无害化处置；职工办公、生活生活垃圾收集后由环卫部门定期清运、无害化处置。</w:t>
      </w:r>
    </w:p>
    <w:p>
      <w:pPr>
        <w:spacing w:line="360" w:lineRule="auto"/>
        <w:ind w:firstLine="560" w:firstLineChars="200"/>
        <w:rPr>
          <w:rFonts w:hint="eastAsia" w:ascii="楷体" w:hAnsi="楷体" w:eastAsia="楷体" w:cs="楷体"/>
          <w:kern w:val="2"/>
          <w:sz w:val="28"/>
          <w:szCs w:val="28"/>
          <w:lang w:val="en-US" w:eastAsia="zh-CN" w:bidi="ar-SA"/>
        </w:rPr>
      </w:pP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山东聊和环保科技有限公司出具的《聊城普瑞林特包装有限公司年产70万只塑料桶改建项目（一期）竣工环境保护验收监测报告》监测结果表明：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val="en-US" w:eastAsia="zh-CN"/>
        </w:rPr>
        <w:t>1</w:t>
      </w:r>
      <w:r>
        <w:rPr>
          <w:rFonts w:hint="eastAsia" w:ascii="楷体" w:hAnsi="楷体" w:eastAsia="楷体" w:cs="楷体"/>
          <w:sz w:val="28"/>
          <w:szCs w:val="28"/>
        </w:rPr>
        <w:t>、噪声</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sz w:val="28"/>
          <w:szCs w:val="28"/>
        </w:rPr>
        <w:t>验收监测期间，</w:t>
      </w:r>
      <w:r>
        <w:rPr>
          <w:rFonts w:hint="eastAsia" w:ascii="楷体" w:hAnsi="楷体" w:eastAsia="楷体" w:cs="楷体"/>
          <w:sz w:val="28"/>
          <w:szCs w:val="28"/>
          <w:lang w:eastAsia="zh-CN"/>
        </w:rPr>
        <w:t>注塑、制盖车间</w:t>
      </w:r>
      <w:r>
        <w:rPr>
          <w:rFonts w:hint="eastAsia" w:ascii="楷体" w:hAnsi="楷体" w:eastAsia="楷体" w:cs="楷体"/>
          <w:sz w:val="28"/>
          <w:szCs w:val="28"/>
        </w:rPr>
        <w:t>监测点位昼间噪声</w:t>
      </w:r>
      <w:r>
        <w:rPr>
          <w:rFonts w:hint="eastAsia" w:ascii="楷体" w:hAnsi="楷体" w:eastAsia="楷体" w:cs="楷体"/>
          <w:sz w:val="28"/>
          <w:szCs w:val="28"/>
          <w:lang w:eastAsia="zh-CN"/>
        </w:rPr>
        <w:t>在</w:t>
      </w:r>
      <w:r>
        <w:rPr>
          <w:rFonts w:hint="eastAsia" w:ascii="楷体" w:hAnsi="楷体" w:eastAsia="楷体" w:cs="楷体"/>
          <w:sz w:val="28"/>
          <w:szCs w:val="28"/>
          <w:lang w:val="en-US" w:eastAsia="zh-CN"/>
        </w:rPr>
        <w:t>57.2</w:t>
      </w:r>
      <w:r>
        <w:rPr>
          <w:rFonts w:hint="eastAsia" w:ascii="楷体" w:hAnsi="楷体" w:eastAsia="楷体" w:cs="楷体"/>
          <w:sz w:val="28"/>
          <w:szCs w:val="28"/>
        </w:rPr>
        <w:t>dB(A)-</w:t>
      </w:r>
      <w:r>
        <w:rPr>
          <w:rFonts w:hint="eastAsia" w:ascii="楷体" w:hAnsi="楷体" w:eastAsia="楷体" w:cs="楷体"/>
          <w:sz w:val="28"/>
          <w:szCs w:val="28"/>
          <w:lang w:val="en-US" w:eastAsia="zh-CN"/>
        </w:rPr>
        <w:t>58.5</w:t>
      </w:r>
      <w:r>
        <w:rPr>
          <w:rFonts w:hint="eastAsia" w:ascii="楷体" w:hAnsi="楷体" w:eastAsia="楷体" w:cs="楷体"/>
          <w:sz w:val="28"/>
          <w:szCs w:val="28"/>
        </w:rPr>
        <w:t>dB(A)之间，</w:t>
      </w:r>
      <w:r>
        <w:rPr>
          <w:rFonts w:hint="eastAsia" w:ascii="楷体" w:hAnsi="楷体" w:eastAsia="楷体" w:cs="楷体"/>
          <w:sz w:val="28"/>
          <w:szCs w:val="28"/>
          <w:lang w:eastAsia="zh-CN"/>
        </w:rPr>
        <w:t>夜间噪声在</w:t>
      </w:r>
      <w:r>
        <w:rPr>
          <w:rFonts w:hint="eastAsia" w:ascii="楷体" w:hAnsi="楷体" w:eastAsia="楷体" w:cs="楷体"/>
          <w:sz w:val="28"/>
          <w:szCs w:val="28"/>
          <w:lang w:val="en-US" w:eastAsia="zh-CN"/>
        </w:rPr>
        <w:t>44.3</w:t>
      </w:r>
      <w:r>
        <w:rPr>
          <w:rFonts w:hint="eastAsia" w:ascii="楷体" w:hAnsi="楷体" w:eastAsia="楷体" w:cs="楷体"/>
          <w:sz w:val="28"/>
          <w:szCs w:val="28"/>
        </w:rPr>
        <w:t>dB(A)-</w:t>
      </w:r>
      <w:r>
        <w:rPr>
          <w:rFonts w:hint="eastAsia" w:ascii="楷体" w:hAnsi="楷体" w:eastAsia="楷体" w:cs="楷体"/>
          <w:sz w:val="28"/>
          <w:szCs w:val="28"/>
          <w:lang w:val="en-US" w:eastAsia="zh-CN"/>
        </w:rPr>
        <w:t>46.3</w:t>
      </w:r>
      <w:r>
        <w:rPr>
          <w:rFonts w:hint="eastAsia" w:ascii="楷体" w:hAnsi="楷体" w:eastAsia="楷体" w:cs="楷体"/>
          <w:sz w:val="28"/>
          <w:szCs w:val="28"/>
        </w:rPr>
        <w:t>dB(A)</w:t>
      </w:r>
      <w:r>
        <w:rPr>
          <w:rFonts w:hint="eastAsia" w:ascii="楷体" w:hAnsi="楷体" w:eastAsia="楷体" w:cs="楷体"/>
          <w:sz w:val="28"/>
          <w:szCs w:val="28"/>
          <w:lang w:eastAsia="zh-CN"/>
        </w:rPr>
        <w:t>之间，吹塑车间周围</w:t>
      </w:r>
      <w:r>
        <w:rPr>
          <w:rFonts w:hint="eastAsia" w:ascii="楷体" w:hAnsi="楷体" w:eastAsia="楷体" w:cs="楷体"/>
          <w:sz w:val="28"/>
          <w:szCs w:val="28"/>
        </w:rPr>
        <w:t>监测点位昼间噪声在</w:t>
      </w:r>
      <w:r>
        <w:rPr>
          <w:rFonts w:hint="eastAsia" w:ascii="楷体" w:hAnsi="楷体" w:eastAsia="楷体" w:cs="楷体"/>
          <w:sz w:val="28"/>
          <w:szCs w:val="28"/>
          <w:lang w:val="en-US" w:eastAsia="zh-CN"/>
        </w:rPr>
        <w:t>56.8</w:t>
      </w:r>
      <w:r>
        <w:rPr>
          <w:rFonts w:hint="eastAsia" w:ascii="楷体" w:hAnsi="楷体" w:eastAsia="楷体" w:cs="楷体"/>
          <w:sz w:val="28"/>
          <w:szCs w:val="28"/>
        </w:rPr>
        <w:t>dB(A)-</w:t>
      </w:r>
      <w:r>
        <w:rPr>
          <w:rFonts w:hint="eastAsia" w:ascii="楷体" w:hAnsi="楷体" w:eastAsia="楷体" w:cs="楷体"/>
          <w:sz w:val="28"/>
          <w:szCs w:val="28"/>
          <w:lang w:val="en-US" w:eastAsia="zh-CN"/>
        </w:rPr>
        <w:t>58.3</w:t>
      </w:r>
      <w:r>
        <w:rPr>
          <w:rFonts w:hint="eastAsia" w:ascii="楷体" w:hAnsi="楷体" w:eastAsia="楷体" w:cs="楷体"/>
          <w:sz w:val="28"/>
          <w:szCs w:val="28"/>
        </w:rPr>
        <w:t>dB(A)之间，</w:t>
      </w:r>
      <w:r>
        <w:rPr>
          <w:rFonts w:hint="eastAsia" w:ascii="楷体" w:hAnsi="楷体" w:eastAsia="楷体" w:cs="楷体"/>
          <w:sz w:val="28"/>
          <w:szCs w:val="28"/>
          <w:lang w:eastAsia="zh-CN"/>
        </w:rPr>
        <w:t>夜间噪声在</w:t>
      </w:r>
      <w:r>
        <w:rPr>
          <w:rFonts w:hint="eastAsia" w:ascii="楷体" w:hAnsi="楷体" w:eastAsia="楷体" w:cs="楷体"/>
          <w:sz w:val="28"/>
          <w:szCs w:val="28"/>
          <w:lang w:val="en-US" w:eastAsia="zh-CN"/>
        </w:rPr>
        <w:t>44.4</w:t>
      </w:r>
      <w:r>
        <w:rPr>
          <w:rFonts w:hint="eastAsia" w:ascii="楷体" w:hAnsi="楷体" w:eastAsia="楷体" w:cs="楷体"/>
          <w:sz w:val="28"/>
          <w:szCs w:val="28"/>
        </w:rPr>
        <w:t>dB(A)-</w:t>
      </w:r>
      <w:r>
        <w:rPr>
          <w:rFonts w:hint="eastAsia" w:ascii="楷体" w:hAnsi="楷体" w:eastAsia="楷体" w:cs="楷体"/>
          <w:sz w:val="28"/>
          <w:szCs w:val="28"/>
          <w:lang w:val="en-US" w:eastAsia="zh-CN"/>
        </w:rPr>
        <w:t>46.4</w:t>
      </w:r>
      <w:r>
        <w:rPr>
          <w:rFonts w:hint="eastAsia" w:ascii="楷体" w:hAnsi="楷体" w:eastAsia="楷体" w:cs="楷体"/>
          <w:sz w:val="28"/>
          <w:szCs w:val="28"/>
        </w:rPr>
        <w:t>dB(A)</w:t>
      </w:r>
      <w:r>
        <w:rPr>
          <w:rFonts w:hint="eastAsia" w:ascii="楷体" w:hAnsi="楷体" w:eastAsia="楷体" w:cs="楷体"/>
          <w:sz w:val="28"/>
          <w:szCs w:val="28"/>
          <w:lang w:eastAsia="zh-CN"/>
        </w:rPr>
        <w:t>之间，均</w:t>
      </w:r>
      <w:r>
        <w:rPr>
          <w:rFonts w:hint="eastAsia" w:ascii="楷体" w:hAnsi="楷体" w:eastAsia="楷体" w:cs="楷体"/>
          <w:sz w:val="28"/>
          <w:szCs w:val="28"/>
        </w:rPr>
        <w:t>符合《工业企业厂界环境噪声排放标准》（GB12348－2008）中的</w:t>
      </w:r>
      <w:r>
        <w:rPr>
          <w:rFonts w:hint="eastAsia" w:ascii="楷体" w:hAnsi="楷体" w:eastAsia="楷体" w:cs="楷体"/>
          <w:sz w:val="28"/>
          <w:szCs w:val="28"/>
          <w:lang w:val="en-US" w:eastAsia="zh-CN"/>
        </w:rPr>
        <w:t>3</w:t>
      </w:r>
      <w:r>
        <w:rPr>
          <w:rFonts w:hint="eastAsia" w:ascii="楷体" w:hAnsi="楷体" w:eastAsia="楷体" w:cs="楷体"/>
          <w:sz w:val="28"/>
          <w:szCs w:val="28"/>
        </w:rPr>
        <w:t>类标准限值</w:t>
      </w:r>
      <w:r>
        <w:rPr>
          <w:rFonts w:hint="eastAsia" w:ascii="楷体" w:hAnsi="楷体" w:eastAsia="楷体" w:cs="楷体"/>
          <w:sz w:val="28"/>
          <w:szCs w:val="28"/>
          <w:lang w:eastAsia="zh-CN"/>
        </w:rPr>
        <w:t>。</w:t>
      </w:r>
    </w:p>
    <w:p>
      <w:pPr>
        <w:pStyle w:val="2"/>
        <w:numPr>
          <w:ilvl w:val="0"/>
          <w:numId w:val="2"/>
        </w:numPr>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废气</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验收监测期间，注塑、制盖车间无组织颗粒物浓度最高为0.664mg/m</w:t>
      </w:r>
      <w:r>
        <w:rPr>
          <w:rFonts w:hint="eastAsia" w:ascii="楷体" w:hAnsi="楷体" w:eastAsia="楷体" w:cs="楷体"/>
          <w:kern w:val="2"/>
          <w:sz w:val="28"/>
          <w:szCs w:val="28"/>
          <w:vertAlign w:val="superscript"/>
          <w:lang w:val="en-US" w:eastAsia="zh-CN" w:bidi="ar-SA"/>
        </w:rPr>
        <w:t>3</w:t>
      </w:r>
      <w:r>
        <w:rPr>
          <w:rFonts w:hint="eastAsia" w:ascii="楷体" w:hAnsi="楷体" w:eastAsia="楷体" w:cs="楷体"/>
          <w:kern w:val="2"/>
          <w:sz w:val="28"/>
          <w:szCs w:val="28"/>
          <w:lang w:val="en-US" w:eastAsia="zh-CN" w:bidi="ar-SA"/>
        </w:rPr>
        <w:t>，无组织非甲烷总烃浓度最高为0.90mg/m</w:t>
      </w:r>
      <w:r>
        <w:rPr>
          <w:rFonts w:hint="eastAsia" w:ascii="楷体" w:hAnsi="楷体" w:eastAsia="楷体" w:cs="楷体"/>
          <w:kern w:val="2"/>
          <w:sz w:val="28"/>
          <w:szCs w:val="28"/>
          <w:vertAlign w:val="superscript"/>
          <w:lang w:val="en-US" w:eastAsia="zh-CN" w:bidi="ar-SA"/>
        </w:rPr>
        <w:t>3</w:t>
      </w:r>
      <w:r>
        <w:rPr>
          <w:rFonts w:hint="eastAsia" w:ascii="楷体" w:hAnsi="楷体" w:eastAsia="楷体" w:cs="楷体"/>
          <w:kern w:val="2"/>
          <w:sz w:val="28"/>
          <w:szCs w:val="28"/>
          <w:lang w:val="en-US" w:eastAsia="zh-CN" w:bidi="ar-SA"/>
        </w:rPr>
        <w:t>，吹塑车间无组织颗粒物浓度最高为0.522mg/m</w:t>
      </w:r>
      <w:r>
        <w:rPr>
          <w:rFonts w:hint="eastAsia" w:ascii="楷体" w:hAnsi="楷体" w:eastAsia="楷体" w:cs="楷体"/>
          <w:kern w:val="2"/>
          <w:sz w:val="28"/>
          <w:szCs w:val="28"/>
          <w:vertAlign w:val="superscript"/>
          <w:lang w:val="en-US" w:eastAsia="zh-CN" w:bidi="ar-SA"/>
        </w:rPr>
        <w:t>3</w:t>
      </w:r>
      <w:r>
        <w:rPr>
          <w:rFonts w:hint="eastAsia" w:ascii="楷体" w:hAnsi="楷体" w:eastAsia="楷体" w:cs="楷体"/>
          <w:kern w:val="2"/>
          <w:sz w:val="28"/>
          <w:szCs w:val="28"/>
          <w:lang w:val="en-US" w:eastAsia="zh-CN" w:bidi="ar-SA"/>
        </w:rPr>
        <w:t>，无组织非甲烷总烃浓度最高为0.60mg/m</w:t>
      </w:r>
      <w:r>
        <w:rPr>
          <w:rFonts w:hint="eastAsia" w:ascii="楷体" w:hAnsi="楷体" w:eastAsia="楷体" w:cs="楷体"/>
          <w:kern w:val="2"/>
          <w:sz w:val="28"/>
          <w:szCs w:val="28"/>
          <w:vertAlign w:val="superscript"/>
          <w:lang w:val="en-US" w:eastAsia="zh-CN" w:bidi="ar-SA"/>
        </w:rPr>
        <w:t>3</w:t>
      </w:r>
      <w:r>
        <w:rPr>
          <w:rFonts w:hint="eastAsia" w:ascii="楷体" w:hAnsi="楷体" w:eastAsia="楷体" w:cs="楷体"/>
          <w:kern w:val="2"/>
          <w:sz w:val="28"/>
          <w:szCs w:val="28"/>
          <w:lang w:val="en-US" w:eastAsia="zh-CN" w:bidi="ar-SA"/>
        </w:rPr>
        <w:t>，均满足《大气污染物综合排放标准》GB16297-1996）表2中的无组织排放标准要求。注塑、制盖车间有组织非甲烷总烃最高排放浓度为0.32mg/m</w:t>
      </w:r>
      <w:r>
        <w:rPr>
          <w:rFonts w:hint="eastAsia" w:ascii="楷体" w:hAnsi="楷体" w:eastAsia="楷体" w:cs="楷体"/>
          <w:kern w:val="2"/>
          <w:sz w:val="28"/>
          <w:szCs w:val="28"/>
          <w:vertAlign w:val="superscript"/>
          <w:lang w:val="en-US" w:eastAsia="zh-CN" w:bidi="ar-SA"/>
        </w:rPr>
        <w:t>3</w:t>
      </w:r>
      <w:r>
        <w:rPr>
          <w:rFonts w:hint="eastAsia" w:ascii="楷体" w:hAnsi="楷体" w:eastAsia="楷体" w:cs="楷体"/>
          <w:kern w:val="2"/>
          <w:sz w:val="28"/>
          <w:szCs w:val="28"/>
          <w:lang w:val="en-US" w:eastAsia="zh-CN" w:bidi="ar-SA"/>
        </w:rPr>
        <w:t>，排放速率最高为0.0024kg/h,吹塑车间有组织非甲烷总烃最高排放浓度为0.26mg/m</w:t>
      </w:r>
      <w:r>
        <w:rPr>
          <w:rFonts w:hint="eastAsia" w:ascii="楷体" w:hAnsi="楷体" w:eastAsia="楷体" w:cs="楷体"/>
          <w:kern w:val="2"/>
          <w:sz w:val="28"/>
          <w:szCs w:val="28"/>
          <w:vertAlign w:val="superscript"/>
          <w:lang w:val="en-US" w:eastAsia="zh-CN" w:bidi="ar-SA"/>
        </w:rPr>
        <w:t>3</w:t>
      </w:r>
      <w:r>
        <w:rPr>
          <w:rFonts w:hint="eastAsia" w:ascii="楷体" w:hAnsi="楷体" w:eastAsia="楷体" w:cs="楷体"/>
          <w:kern w:val="2"/>
          <w:sz w:val="28"/>
          <w:szCs w:val="28"/>
          <w:lang w:val="en-US" w:eastAsia="zh-CN" w:bidi="ar-SA"/>
        </w:rPr>
        <w:t>，排放速率最高为0.002kg/h，满足《大气污染物综合排放标准》GB16297-1996）表2中相关标准要求。</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lang w:val="en-US" w:eastAsia="zh-CN"/>
        </w:rPr>
        <w:t>2、</w:t>
      </w:r>
      <w:r>
        <w:rPr>
          <w:rFonts w:hint="eastAsia" w:ascii="楷体" w:hAnsi="楷体" w:eastAsia="楷体" w:cs="楷体"/>
          <w:sz w:val="28"/>
          <w:szCs w:val="28"/>
        </w:rPr>
        <w:t>固体废物</w:t>
      </w:r>
    </w:p>
    <w:p>
      <w:pPr>
        <w:pStyle w:val="17"/>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楷体" w:hAnsi="楷体" w:eastAsia="楷体" w:cs="楷体"/>
          <w:kern w:val="2"/>
          <w:sz w:val="28"/>
          <w:szCs w:val="28"/>
          <w:lang w:val="en-US" w:eastAsia="zh-CN" w:bidi="ar-SA"/>
        </w:rPr>
      </w:pPr>
      <w:r>
        <w:rPr>
          <w:rFonts w:hint="default" w:ascii="楷体" w:hAnsi="楷体" w:eastAsia="楷体" w:cs="楷体"/>
          <w:kern w:val="2"/>
          <w:sz w:val="28"/>
          <w:szCs w:val="28"/>
          <w:lang w:val="en-US" w:eastAsia="zh-CN" w:bidi="ar-SA"/>
        </w:rPr>
        <w:t>本</w:t>
      </w:r>
      <w:r>
        <w:rPr>
          <w:rFonts w:hint="eastAsia" w:ascii="楷体" w:hAnsi="楷体" w:eastAsia="楷体" w:cs="楷体"/>
          <w:kern w:val="2"/>
          <w:sz w:val="28"/>
          <w:szCs w:val="28"/>
          <w:lang w:val="en-US" w:eastAsia="zh-CN" w:bidi="ar-SA"/>
        </w:rPr>
        <w:t>项目固废主要为不合格品粉碎产生的下脚料，烫金纸印制过程产生的废烫金纸，PET、PT、油墨等原料废包装材料，光氧设备废灯管以及职工办公、生活产生的生活垃圾。</w:t>
      </w:r>
    </w:p>
    <w:p>
      <w:pPr>
        <w:widowControl/>
        <w:spacing w:line="360" w:lineRule="auto"/>
        <w:ind w:firstLine="700" w:firstLineChars="2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其中，不合格品粉碎下脚料收集后外卖物资公司回收利用；烫金纸印制过程废烫金纸收集后外卖物资公司回收利用；PET、油墨等废包装材料收集后由生产厂家回收、利用；光解设备废灯管收集后委托相关资质单位无害化处置；职工办公、生活生活垃圾收集后由环卫部门定期清运、无害化处置。</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聊城普瑞林特包装有限公司</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聊城普瑞林特包装有限公司</w:t>
      </w:r>
      <w:r>
        <w:rPr>
          <w:rFonts w:hint="eastAsia" w:ascii="楷体" w:hAnsi="楷体" w:eastAsia="楷体" w:cs="楷体"/>
          <w:color w:val="000000"/>
          <w:sz w:val="28"/>
          <w:szCs w:val="28"/>
        </w:rPr>
        <w:t>环保管理制度》,日常工作由</w:t>
      </w:r>
      <w:r>
        <w:rPr>
          <w:rFonts w:hint="eastAsia" w:ascii="楷体" w:hAnsi="楷体" w:eastAsia="楷体" w:cs="楷体"/>
          <w:color w:val="000000"/>
          <w:sz w:val="28"/>
          <w:szCs w:val="28"/>
          <w:lang w:eastAsia="zh-CN"/>
        </w:rPr>
        <w:t>环保小组</w:t>
      </w:r>
      <w:r>
        <w:rPr>
          <w:rFonts w:hint="eastAsia" w:ascii="楷体" w:hAnsi="楷体" w:eastAsia="楷体" w:cs="楷体"/>
          <w:color w:val="000000"/>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3"/>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加强文本制作质量，审核关于设备清单、实际投资金额及工艺流程内容，使文本内容真实可靠，进一步完善、核实验收检测报告。</w:t>
      </w:r>
    </w:p>
    <w:p>
      <w:pPr>
        <w:pStyle w:val="2"/>
        <w:numPr>
          <w:ilvl w:val="0"/>
          <w:numId w:val="3"/>
        </w:numPr>
      </w:pPr>
      <w:r>
        <w:rPr>
          <w:rFonts w:hint="eastAsia" w:ascii="楷体" w:hAnsi="楷体" w:eastAsia="楷体" w:cs="楷体"/>
          <w:kern w:val="2"/>
          <w:sz w:val="28"/>
          <w:szCs w:val="28"/>
          <w:lang w:val="en-US" w:eastAsia="zh-CN" w:bidi="ar-SA"/>
        </w:rPr>
        <w:t>规范采样爬梯、平台和采样口，排气筒加高到15米。</w:t>
      </w:r>
    </w:p>
    <w:p>
      <w:pPr>
        <w:pStyle w:val="9"/>
        <w:numPr>
          <w:ilvl w:val="0"/>
          <w:numId w:val="4"/>
        </w:numPr>
        <w:ind w:firstLine="280" w:firstLineChars="100"/>
        <w:rPr>
          <w:rFonts w:ascii="楷体" w:hAnsi="楷体" w:eastAsia="楷体" w:cs="楷体"/>
          <w:sz w:val="28"/>
          <w:szCs w:val="28"/>
        </w:rPr>
      </w:pPr>
      <w:r>
        <w:rPr>
          <w:rFonts w:hint="eastAsia" w:ascii="楷体" w:hAnsi="楷体" w:eastAsia="楷体" w:cs="楷体"/>
          <w:sz w:val="28"/>
          <w:szCs w:val="28"/>
          <w:lang w:eastAsia="zh-CN"/>
        </w:rPr>
        <w:drawing>
          <wp:anchor distT="0" distB="0" distL="114300" distR="114300" simplePos="0" relativeHeight="251658240" behindDoc="0" locked="0" layoutInCell="1" allowOverlap="1">
            <wp:simplePos x="0" y="0"/>
            <wp:positionH relativeFrom="column">
              <wp:posOffset>2025015</wp:posOffset>
            </wp:positionH>
            <wp:positionV relativeFrom="paragraph">
              <wp:posOffset>464820</wp:posOffset>
            </wp:positionV>
            <wp:extent cx="2613025" cy="2893695"/>
            <wp:effectExtent l="0" t="0" r="15875" b="1905"/>
            <wp:wrapNone/>
            <wp:docPr id="1" name="图片 1" descr="微信图片_201808131452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808131452412"/>
                    <pic:cNvPicPr>
                      <a:picLocks noChangeAspect="1"/>
                    </pic:cNvPicPr>
                  </pic:nvPicPr>
                  <pic:blipFill>
                    <a:blip r:embed="rId4"/>
                    <a:stretch>
                      <a:fillRect/>
                    </a:stretch>
                  </pic:blipFill>
                  <pic:spPr>
                    <a:xfrm>
                      <a:off x="0" y="0"/>
                      <a:ext cx="2613025" cy="2893695"/>
                    </a:xfrm>
                    <a:prstGeom prst="rect">
                      <a:avLst/>
                    </a:prstGeom>
                  </pic:spPr>
                </pic:pic>
              </a:graphicData>
            </a:graphic>
          </wp:anchor>
        </w:drawing>
      </w:r>
      <w:r>
        <w:rPr>
          <w:rFonts w:ascii="楷体" w:hAnsi="楷体" w:eastAsia="楷体" w:cs="楷体"/>
          <w:sz w:val="28"/>
          <w:szCs w:val="28"/>
        </w:rPr>
        <w:t>现场整改照片：</w:t>
      </w:r>
    </w:p>
    <w:p>
      <w:pPr>
        <w:pStyle w:val="2"/>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2517775" cy="5035550"/>
            <wp:effectExtent l="0" t="0" r="15875" b="12700"/>
            <wp:docPr id="3" name="图片 3" descr="微信图片_20180813145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80813145241"/>
                    <pic:cNvPicPr>
                      <a:picLocks noChangeAspect="1"/>
                    </pic:cNvPicPr>
                  </pic:nvPicPr>
                  <pic:blipFill>
                    <a:blip r:embed="rId5"/>
                    <a:stretch>
                      <a:fillRect/>
                    </a:stretch>
                  </pic:blipFill>
                  <pic:spPr>
                    <a:xfrm>
                      <a:off x="0" y="0"/>
                      <a:ext cx="2517775" cy="5035550"/>
                    </a:xfrm>
                    <a:prstGeom prst="rect">
                      <a:avLst/>
                    </a:prstGeom>
                  </pic:spPr>
                </pic:pic>
              </a:graphicData>
            </a:graphic>
          </wp:inline>
        </w:drawing>
      </w:r>
      <w:r>
        <w:rPr>
          <w:rFonts w:hint="eastAsia" w:ascii="楷体" w:hAnsi="楷体" w:eastAsia="楷体" w:cs="楷体"/>
          <w:sz w:val="28"/>
          <w:szCs w:val="28"/>
          <w:lang w:eastAsia="zh-CN"/>
        </w:rPr>
        <w:drawing>
          <wp:inline distT="0" distB="0" distL="114300" distR="114300">
            <wp:extent cx="2799080" cy="5598160"/>
            <wp:effectExtent l="0" t="0" r="1270" b="2540"/>
            <wp:docPr id="2" name="图片 2" descr="微信图片_201808131452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808131452411"/>
                    <pic:cNvPicPr>
                      <a:picLocks noChangeAspect="1"/>
                    </pic:cNvPicPr>
                  </pic:nvPicPr>
                  <pic:blipFill>
                    <a:blip r:embed="rId6"/>
                    <a:stretch>
                      <a:fillRect/>
                    </a:stretch>
                  </pic:blipFill>
                  <pic:spPr>
                    <a:xfrm>
                      <a:off x="0" y="0"/>
                      <a:ext cx="2799080" cy="5598160"/>
                    </a:xfrm>
                    <a:prstGeom prst="rect">
                      <a:avLst/>
                    </a:prstGeom>
                  </pic:spPr>
                </pic:pic>
              </a:graphicData>
            </a:graphic>
          </wp:inline>
        </w:drawing>
      </w:r>
    </w:p>
    <w:p>
      <w:pPr>
        <w:spacing w:line="360" w:lineRule="auto"/>
        <w:jc w:val="left"/>
        <w:rPr>
          <w:rFonts w:hint="eastAsia" w:ascii="楷体" w:hAnsi="楷体" w:eastAsia="楷体" w:cs="楷体"/>
          <w:sz w:val="28"/>
          <w:szCs w:val="28"/>
        </w:rPr>
      </w:pPr>
    </w:p>
    <w:p>
      <w:pPr>
        <w:spacing w:line="360" w:lineRule="auto"/>
        <w:jc w:val="left"/>
        <w:rPr>
          <w:rFonts w:hint="eastAsia" w:ascii="楷体" w:hAnsi="楷体" w:eastAsia="楷体" w:cs="楷体"/>
          <w:sz w:val="28"/>
          <w:szCs w:val="28"/>
        </w:rPr>
      </w:pPr>
    </w:p>
    <w:p>
      <w:pPr>
        <w:spacing w:line="360" w:lineRule="auto"/>
        <w:jc w:val="left"/>
        <w:rPr>
          <w:rFonts w:hint="eastAsia" w:ascii="楷体" w:hAnsi="楷体" w:eastAsia="楷体" w:cs="楷体"/>
          <w:sz w:val="28"/>
          <w:szCs w:val="28"/>
        </w:rPr>
      </w:pPr>
    </w:p>
    <w:p>
      <w:pPr>
        <w:spacing w:line="360" w:lineRule="auto"/>
        <w:jc w:val="left"/>
        <w:rPr>
          <w:rFonts w:hint="eastAsia" w:ascii="楷体" w:hAnsi="楷体" w:eastAsia="楷体" w:cs="楷体"/>
          <w:sz w:val="28"/>
          <w:szCs w:val="28"/>
        </w:rPr>
      </w:pPr>
    </w:p>
    <w:p>
      <w:pPr>
        <w:spacing w:line="360" w:lineRule="auto"/>
        <w:jc w:val="left"/>
        <w:rPr>
          <w:rFonts w:hint="eastAsia" w:ascii="楷体" w:hAnsi="楷体" w:eastAsia="楷体" w:cs="楷体"/>
          <w:sz w:val="28"/>
          <w:szCs w:val="28"/>
        </w:rPr>
      </w:pPr>
    </w:p>
    <w:p>
      <w:pPr>
        <w:spacing w:line="360" w:lineRule="auto"/>
        <w:jc w:val="left"/>
        <w:rPr>
          <w:rFonts w:hint="eastAsia" w:ascii="楷体" w:hAnsi="楷体" w:eastAsia="楷体" w:cs="楷体"/>
          <w:sz w:val="28"/>
          <w:szCs w:val="28"/>
        </w:rPr>
      </w:pPr>
    </w:p>
    <w:p>
      <w:pPr>
        <w:spacing w:line="360" w:lineRule="auto"/>
        <w:jc w:val="left"/>
        <w:rPr>
          <w:rFonts w:hint="eastAsia" w:ascii="楷体" w:hAnsi="楷体" w:eastAsia="楷体" w:cs="楷体"/>
          <w:sz w:val="28"/>
          <w:szCs w:val="28"/>
        </w:rPr>
      </w:pPr>
    </w:p>
    <w:p>
      <w:pPr>
        <w:spacing w:line="360" w:lineRule="auto"/>
        <w:jc w:val="left"/>
        <w:rPr>
          <w:rFonts w:hint="eastAsia" w:ascii="楷体" w:hAnsi="楷体" w:eastAsia="楷体" w:cs="楷体"/>
          <w:sz w:val="28"/>
          <w:szCs w:val="28"/>
        </w:rPr>
      </w:pPr>
    </w:p>
    <w:p>
      <w:pPr>
        <w:spacing w:line="360" w:lineRule="auto"/>
        <w:jc w:val="left"/>
        <w:rPr>
          <w:rFonts w:ascii="楷体" w:hAnsi="楷体" w:eastAsia="楷体" w:cs="楷体"/>
          <w:sz w:val="28"/>
          <w:szCs w:val="28"/>
        </w:rPr>
      </w:pPr>
      <w:r>
        <w:rPr>
          <w:rFonts w:hint="eastAsia" w:ascii="楷体" w:hAnsi="楷体" w:eastAsia="楷体" w:cs="楷体"/>
          <w:sz w:val="28"/>
          <w:szCs w:val="28"/>
        </w:rPr>
        <w:t>七、验收结论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pPr>
      <w:r>
        <w:rPr>
          <w:rFonts w:hint="eastAsia" w:ascii="楷体" w:hAnsi="楷体" w:eastAsia="楷体" w:cs="楷体"/>
          <w:sz w:val="28"/>
          <w:szCs w:val="28"/>
        </w:rPr>
        <w:t xml:space="preserve">                          </w:t>
      </w:r>
      <w:r>
        <w:rPr>
          <w:rFonts w:hint="eastAsia" w:ascii="楷体" w:hAnsi="楷体" w:eastAsia="楷体" w:cs="楷体"/>
          <w:sz w:val="28"/>
          <w:szCs w:val="28"/>
          <w:lang w:eastAsia="zh-CN"/>
        </w:rPr>
        <w:t>聊城普瑞林特包装有限公司</w:t>
      </w:r>
      <w:r>
        <w:rPr>
          <w:rFonts w:hint="eastAsia" w:ascii="楷体" w:hAnsi="楷体" w:eastAsia="楷体" w:cs="楷体"/>
          <w:sz w:val="28"/>
          <w:szCs w:val="28"/>
        </w:rPr>
        <w:t>验收组</w:t>
      </w:r>
    </w:p>
    <w:p>
      <w:pPr>
        <w:spacing w:line="360" w:lineRule="auto"/>
        <w:jc w:val="cente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13</w:t>
      </w:r>
      <w:r>
        <w:rPr>
          <w:rFonts w:hint="eastAsia" w:ascii="楷体" w:hAnsi="楷体" w:eastAsia="楷体" w:cs="楷体"/>
          <w:sz w:val="28"/>
          <w:szCs w:val="28"/>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50606B"/>
    <w:multiLevelType w:val="singleLevel"/>
    <w:tmpl w:val="1D50606B"/>
    <w:lvl w:ilvl="0" w:tentative="0">
      <w:start w:val="2"/>
      <w:numFmt w:val="decimal"/>
      <w:suff w:val="nothing"/>
      <w:lvlText w:val="%1、"/>
      <w:lvlJc w:val="left"/>
    </w:lvl>
  </w:abstractNum>
  <w:abstractNum w:abstractNumId="1">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2">
    <w:nsid w:val="46AAAAD9"/>
    <w:multiLevelType w:val="singleLevel"/>
    <w:tmpl w:val="46AAAAD9"/>
    <w:lvl w:ilvl="0" w:tentative="0">
      <w:start w:val="1"/>
      <w:numFmt w:val="decimal"/>
      <w:suff w:val="nothing"/>
      <w:lvlText w:val="%1、"/>
      <w:lvlJc w:val="left"/>
    </w:lvl>
  </w:abstractNum>
  <w:abstractNum w:abstractNumId="3">
    <w:nsid w:val="5B0E1076"/>
    <w:multiLevelType w:val="singleLevel"/>
    <w:tmpl w:val="5B0E1076"/>
    <w:lvl w:ilvl="0" w:tentative="0">
      <w:start w:val="6"/>
      <w:numFmt w:val="chineseCounting"/>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2135602"/>
    <w:rsid w:val="04334B5D"/>
    <w:rsid w:val="04EE720B"/>
    <w:rsid w:val="080C1189"/>
    <w:rsid w:val="08516DB8"/>
    <w:rsid w:val="0B3710F6"/>
    <w:rsid w:val="1114739D"/>
    <w:rsid w:val="11C63CC0"/>
    <w:rsid w:val="11E60AC7"/>
    <w:rsid w:val="1887595F"/>
    <w:rsid w:val="188E2022"/>
    <w:rsid w:val="1A1158EF"/>
    <w:rsid w:val="1B5934FA"/>
    <w:rsid w:val="1EB23C92"/>
    <w:rsid w:val="2F45678C"/>
    <w:rsid w:val="304D4A12"/>
    <w:rsid w:val="3398641F"/>
    <w:rsid w:val="3BA064D6"/>
    <w:rsid w:val="3BA24A74"/>
    <w:rsid w:val="3C9D29D7"/>
    <w:rsid w:val="3E407687"/>
    <w:rsid w:val="3E5C226F"/>
    <w:rsid w:val="40516DBF"/>
    <w:rsid w:val="49387C4F"/>
    <w:rsid w:val="4F63461C"/>
    <w:rsid w:val="55424CCC"/>
    <w:rsid w:val="57974243"/>
    <w:rsid w:val="5C687BD7"/>
    <w:rsid w:val="5D0B3D4A"/>
    <w:rsid w:val="64D951B9"/>
    <w:rsid w:val="6C935275"/>
    <w:rsid w:val="6C9779C0"/>
    <w:rsid w:val="6F733717"/>
    <w:rsid w:val="74234EB6"/>
    <w:rsid w:val="747F6622"/>
    <w:rsid w:val="793830BA"/>
    <w:rsid w:val="7C7E01B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6"/>
    <w:semiHidden/>
    <w:unhideWhenUsed/>
    <w:qFormat/>
    <w:uiPriority w:val="99"/>
    <w:rPr>
      <w:sz w:val="18"/>
      <w:szCs w:val="18"/>
    </w:rPr>
  </w:style>
  <w:style w:type="paragraph" w:styleId="5">
    <w:name w:val="footer"/>
    <w:basedOn w:val="1"/>
    <w:link w:val="11"/>
    <w:semiHidden/>
    <w:qFormat/>
    <w:uiPriority w:val="99"/>
    <w:pPr>
      <w:tabs>
        <w:tab w:val="center" w:pos="4153"/>
        <w:tab w:val="right" w:pos="8306"/>
      </w:tabs>
      <w:snapToGrid w:val="0"/>
      <w:jc w:val="left"/>
    </w:pPr>
    <w:rPr>
      <w:sz w:val="18"/>
      <w:szCs w:val="18"/>
    </w:rPr>
  </w:style>
  <w:style w:type="paragraph" w:styleId="6">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0">
    <w:name w:val="页眉 Char"/>
    <w:basedOn w:val="7"/>
    <w:link w:val="6"/>
    <w:semiHidden/>
    <w:qFormat/>
    <w:locked/>
    <w:uiPriority w:val="99"/>
    <w:rPr>
      <w:rFonts w:cs="Times New Roman"/>
      <w:sz w:val="18"/>
      <w:szCs w:val="18"/>
    </w:rPr>
  </w:style>
  <w:style w:type="character" w:customStyle="1" w:styleId="11">
    <w:name w:val="页脚 Char"/>
    <w:basedOn w:val="7"/>
    <w:link w:val="5"/>
    <w:semiHidden/>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正1 Char"/>
    <w:link w:val="14"/>
    <w:qFormat/>
    <w:locked/>
    <w:uiPriority w:val="99"/>
    <w:rPr>
      <w:rFonts w:eastAsia="楷体_GB2312"/>
      <w:sz w:val="24"/>
    </w:rPr>
  </w:style>
  <w:style w:type="paragraph" w:customStyle="1" w:styleId="14">
    <w:name w:val="正1"/>
    <w:basedOn w:val="1"/>
    <w:link w:val="13"/>
    <w:qFormat/>
    <w:uiPriority w:val="99"/>
    <w:pPr>
      <w:spacing w:line="360" w:lineRule="auto"/>
      <w:ind w:firstLine="200" w:firstLineChars="200"/>
      <w:jc w:val="left"/>
    </w:pPr>
    <w:rPr>
      <w:rFonts w:ascii="Calibri" w:hAnsi="Calibri" w:eastAsia="楷体_GB2312"/>
      <w:kern w:val="0"/>
      <w:sz w:val="24"/>
    </w:rPr>
  </w:style>
  <w:style w:type="paragraph" w:customStyle="1" w:styleId="15">
    <w:name w:val="Char Char Char Char Char Char Char"/>
    <w:basedOn w:val="1"/>
    <w:qFormat/>
    <w:uiPriority w:val="99"/>
  </w:style>
  <w:style w:type="character" w:customStyle="1" w:styleId="16">
    <w:name w:val="批注框文本 Char"/>
    <w:basedOn w:val="7"/>
    <w:link w:val="4"/>
    <w:semiHidden/>
    <w:qFormat/>
    <w:uiPriority w:val="99"/>
    <w:rPr>
      <w:rFonts w:ascii="Times New Roman" w:hAnsi="Times New Roman"/>
      <w:kern w:val="2"/>
      <w:sz w:val="18"/>
      <w:szCs w:val="18"/>
    </w:rPr>
  </w:style>
  <w:style w:type="paragraph" w:customStyle="1" w:styleId="17">
    <w:name w:val="ZW正文"/>
    <w:basedOn w:val="1"/>
    <w:qFormat/>
    <w:uiPriority w:val="0"/>
    <w:pPr>
      <w:spacing w:line="500" w:lineRule="exact"/>
      <w:ind w:firstLine="48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1</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2018-08-29T03:35:08Z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